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GÁBOR VILLEI-PRIBÉK </w:t>
            </w:r>
          </w:p>
          <w:p w:rsidR="00C275A3" w:rsidRDefault="00186641" w:rsidP="00C275A3">
            <w:pPr>
              <w:pStyle w:val="Hallgatokepzes"/>
            </w:pPr>
            <w:r w:rsidRPr="002361E2">
              <w:rPr>
                <w:i/>
              </w:rPr>
              <w:t>pribek.andras@gmail.com</w:t>
            </w:r>
            <w:r w:rsidRPr="002361E2">
              <w:rPr>
                <w:i/>
              </w:rPr>
              <w:br/>
            </w:r>
            <w:r w:rsidR="00A96AEC">
              <w:t>Rural Development Engineering</w:t>
            </w:r>
            <w:r w:rsidR="00A96AEC">
              <w:br/>
            </w:r>
            <w:r w:rsidR="00E77B23">
              <w:t>MSc,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Kitti Némediné Dr. Kollár</w:t>
            </w:r>
          </w:p>
          <w:p w:rsidR="00DB4822" w:rsidRDefault="00DB4822" w:rsidP="009763E0">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Smart city spatial economics in Budapest and agglomeration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the thesis is to provide the most comprehensive and complete picture possible of the smart city program, as well as the completed or ongoing developments affecting Budapest and the agglomeration and their spatial economic effects. During the primary research, the methods used included an online questionnaire survey, as well as in-depth interviews related to four subsystems. The positive and negative effects of the developments were analyzed using a SWOT analysis. For a better understanding of the spatial economic relationships, a separate map annex was prepared, and a total of four hypotheses were formulated. In the questionnaire survey of the thesis, the developments related to the individual subsystems were randomly selected, related to the households, the households (institutions managed by the state) and the economic bodies. In conclusion, my research reveals that there is no significant difference in knowledge of the subject area between the college v. BA/BSc, as well as the university v. Among those with an MA/MSc degree, at the same time, this ratio was similarly high among those with a high school diploma, and only those with a lower degree were less familiar with them. The companies making the statement are currently not dominant market players, but the technologies they use potentially carry wider economic opportunities. Contrary to expectations, a similar proportion of those belonging to the X generation were familiar with the listed smart developments. I recommend that the subject area receives more media attention.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52185">
    <w:multiLevelType w:val="hybridMultilevel"/>
    <w:lvl w:ilvl="0" w:tplc="8352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52185">
    <w:abstractNumId w:val="137521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66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