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MUSINCKI DOMINIKA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musincki.dominika@gmail.com</w:t>
            </w:r>
            <w:r w:rsidRPr="002361E2">
              <w:rPr>
                <w:i/>
              </w:rPr>
              <w:br/>
            </w:r>
            <w:r w:rsidR="00A96AEC">
              <w:t>Mezőgazdasági mérnöki 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Állattenyésztési Tudományok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Tamás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MATE ATI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genotípusú tojótyúkok viselkedési mintázatainak vizsgálata kaparóteret és műanyag rácspadozatot tartalmazó fülkés tartásmódban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kutatásomban kaparóteret és műanyag rácspadozatot tartalmazó alternatív tartásmódban vizsgáltam különböző genotípusú tojótyúkok helyválasztását és viselkedési mintázatait.</w:t>
      </w:r>
      <w:r>
        <w:rPr>
          <w:color w:val="000000"/>
          <w:sz w:val="24"/>
          <w:szCs w:val="24"/>
        </w:rPr>
        <w:br/>
        <w:t xml:space="preserve">A vizsgálatot a MATE Kaposvári Campus Baromfi Teszttelepén végeztem a Bábolna TETRA Kft. 3 különböző genotípusával [kereskedelmi hibrid (K); tiszta vonalú anyai iv.csop. (Anyai); tiszta vonalú apai iv.csop. (Apai)]. N=159; n=53 db/genotípus. 3 db 5,68 m2-es alternatív fülkébe 53 db jércét helyeztünk. A fülkék területének 1/3-a kaparótér, 2/3-a műanyag rácspadozat volt. Napi 16 órás megvilágítást alkalmaztunk (5:00-21:00). A kaparótérben egy önetető és egy csőrkoptató anyagtömb, a műanyag rácspadozaton egy önetető és egy önitató volt elhelyezve. A vizsgálati napon 24 órás IR kamerás felvételeket (96 alkalommal/fülke) készítettünk. Az állomány videomegfigyelése a 25. élethéten történt. Megfigyeltem a tojótyúkok fülkerészek közötti elhelyezkedését és evési, ivási, pihenési, kapirgálási és pihenési (komfort) viselkedését.</w:t>
      </w:r>
      <w:r>
        <w:rPr>
          <w:color w:val="000000"/>
          <w:sz w:val="24"/>
          <w:szCs w:val="24"/>
        </w:rPr>
        <w:br/>
        <w:t xml:space="preserve">Eredményeimben a tyúkok a világos periódus 60%-át töltötték pihenéssel, 20%-át kapirgálással, 7%-át evéssel. A világos periódusban mindhárom genotípus a kaparótéren helyezkedett el nagyobb arányban, a sötét periódusban a Kereskedelmi (90%) és Apai (75-80%) genotípus a műanyag rácspadozaton. 8 órakor kezdődött az evési viselkedés, ami a Kereskedelmi hibrid esetében tartott a legrövidebb ideig (4 óra). Az ivási viselkedés a világos periódus egészében megnyilvánult, 3% körüli értékben. Az evés befejeztével minden genotípusnál emelkedett a kapirgálás aránya és csak az Anyai genotípusnál nem csökkent annak intenzitása az evési viselkedés ideje alatt. Az anyai vonal kapirgálási aktivitása 10-20%, a Kereskedelmi hibrideknél 10-40% közötti. A tyúkok 17 óra után használták nagyobb arányban a csőrkoptató anyagot, a Kereskedelmi és Apai genotípus a vizsgált időszak elején és végén is jelentős aktivitást mutatott. A hibridek maximum 4%-a, az Anyai vonal akár 8%-a is használta egyidőben a csőrkoptatót. A fészkelési viselkedés a Kereskedelmi hibridnél fordult elő a leghosszabb ideig (14 óra), az Anyai állomány használta a legnagyobb sűrűségben a fészekhelyeket (4%, max. 14%). Az ülőrudak használatában a Kereskedelmi hibridek és az Anyai genotípus mutatott magas aktivitást.</w:t>
      </w:r>
      <w:r>
        <w:rPr>
          <w:color w:val="000000"/>
          <w:sz w:val="24"/>
          <w:szCs w:val="24"/>
        </w:rPr>
        <w:br/>
        <w:t xml:space="preserve">Vizsgálati eredményeim alapján megállapítottam, hogy a környezet gazdagítása meghatározza a tojótyúkok viselkedési repertoárját és biztosítja a természetszerű viselkedési mintázatok kifejeződésének lehetőségét.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74188">
    <w:multiLevelType w:val="hybridMultilevel"/>
    <w:lvl w:ilvl="0" w:tplc="19543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74188">
    <w:abstractNumId w:val="733741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7512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