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KAVALECZ LÁSZLÓ MÁTÉ</w:t>
            </w:r>
          </w:p>
          <w:p w:rsidR="00C275A3" w:rsidRDefault="00186641" w:rsidP="00C275A3">
            <w:pPr>
              <w:pStyle w:val="Hallgatokepzes"/>
            </w:pPr>
            <w:r w:rsidRPr="002361E2">
              <w:rPr>
                <w:i/>
              </w:rPr>
              <w:t>kavlaszlo@gmail.com</w:t>
            </w:r>
            <w:r w:rsidRPr="002361E2">
              <w:rPr>
                <w:i/>
              </w:rPr>
              <w:br/>
            </w:r>
            <w:r w:rsidR="00A96AEC">
              <w:t>Nemzetközi gazdálkodás</w:t>
            </w:r>
            <w:r w:rsidR="00A96AEC">
              <w:br/>
            </w:r>
            <w:r w:rsidR="00E77B23">
              <w:t>BA, 6.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Tőkés Tibor</w:t>
            </w:r>
          </w:p>
          <w:p w:rsidR="00DB4822" w:rsidRDefault="00DB4822" w:rsidP="009763E0">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és Kína kapcsolatainak geopolitikai vizsgálata – Fókuszban a kereskedelem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Kína gazdasági felemelkedését már évek óta saját bőrén tapasztalhatja az átlagos fogyasztó is, látva az elektronikai termékek, ruhák és háztartási eszközök nagy részének származási helyét. Ennek alapján már mindenkinek lehet elképzelése Európa és Kína kereskedelmének volumenéről.</w:t>
      </w:r>
    </w:p>
    <w:p>
      <w:pPr>
        <w:widowControl w:val="on"/>
        <w:pBdr/>
        <w:spacing w:before="240" w:after="240" w:line="240" w:lineRule="auto"/>
        <w:ind w:left="0" w:right="0"/>
        <w:jc w:val="left"/>
      </w:pPr>
      <w:r>
        <w:rPr>
          <w:color w:val="000000"/>
          <w:sz w:val="24"/>
          <w:szCs w:val="24"/>
        </w:rPr>
        <w:t xml:space="preserve">De mit jelenthet ez a hatalmas volumen az Európai Unió és Kína hatalmi viszonyaira nézve? Dolgozatom céljának ezen fő kérdés megválaszolását tekintem. Természetesen a jövőre vonatkozó tejesen bizonyos tudományosan igényes állítást nem tehetek, emiatt több hipotézist állítottam föl, melyek vizsgálata segített abban, hogy ezt az összetett kérdést jobban megérthessük. Céljaim elérésére több, primer és szekunder módszert alkalmaztam. Először szekunder forrásokból áttekintettem a két hatalom múltbéli és jelenlegi kapcsolatait. Ezután nemzetközi szervezetek kereskedelmi adatbázisait vizsgálva primer kutatásként következtetést vontam le a két hatalom kereskedelmének alakulásáról, és ennek jelentőségéről. Végül pedig a szakirodalmat és a primer kutatást felhasználva szcenárióelemzést végeztem, amelyben Kína stratégiájának lehetséges hatásait vizsgáltam az Európai Unióra.</w:t>
      </w:r>
    </w:p>
    <w:p>
      <w:pPr>
        <w:widowControl w:val="on"/>
        <w:pBdr/>
        <w:spacing w:before="240" w:after="240" w:line="240" w:lineRule="auto"/>
        <w:ind w:left="0" w:right="0"/>
        <w:jc w:val="left"/>
      </w:pPr>
      <w:r>
        <w:rPr>
          <w:color w:val="000000"/>
          <w:sz w:val="24"/>
          <w:szCs w:val="24"/>
        </w:rPr>
        <w:t xml:space="preserve">Kutatásomban bizonyítékot találtam arra, hogy a két hatalom politikai kapcsolatainak mozgatórugója a gazdasági érdek, azon belül is a kereskedelem. Primer kutatásomból az is kiderült, hogy a Kínával való kereskedelemben egyértelmű különbségek fedezhetőek fel az Európai Unió „magállamai” és a „periféria” között. Nem jelenthető ki azonban egyértelműen, hogy mely csoport számára bír nagyobb jelentőséggel Kína. A szekunder és primer források alapján arra a következtetésre jutottam, hogy bár Kína nem képes teljesen szétbomlasztani az Európai Uniót, de az ellentétek kiélezésével sikeresen elősegítheti a kétsebességes Európa kialakulását. Végül pedig dolgozatom legfontosabb következtetéseként arra jutottam, hogy Kína felemelkedése nem feltétlenül negatív hatású az Európai Unióra, az Unió akár profitálhat is Kína növekedéséből, amennyiben megfelelően reagál a jelentkező kihívásokra.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85998">
    <w:multiLevelType w:val="hybridMultilevel"/>
    <w:lvl w:ilvl="0" w:tplc="30112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85998">
    <w:abstractNumId w:val="79685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493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