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SLAVATI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slavati.zsani@gmail.com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SDGs jelenléte a magyar top 100 vállalkozásnál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szerepet kap a fenntarthatóság, a környezetre gyakorolt káros hatások csökkentése valamint a társadalmi egyenlőség, a jólét és a jóllét fogalma. Sajnos jelen időszakban is jelentős problémákkal kell szembe néznünk mind társadalmi, gazdasági és környezeti aspektusból is, ideértve például a mélyszegénységet, a nélkülözést, a nemek közti egyenlőtlenséget, az alapvető emberi jogok hiányát, az oktatás és az egészségügyi szektor elmaradottságát, a korrupciót, vagy a tisztességes munka és innováció hiányát. A fent említett problémák egy részének megoldása érdekében 2000-ben elfogadták a 8 Millenniumi Fejlesztési Célt, hogy azok elősegítsék az életkörülmények javítását és a mélyszegénség felszámolását. A célok megvalósítási időszaka 2015-ig tartott, a munka során kiemelkedő eredményeket értek el, azonban a folyamatot nem tekintették befejezettnek. 2015-ben az ENSZ bemutatta az ún. Agenda 2030 globális keretstratégiát, melynek szerves részét képezte a 17 Fenntartható Fejlődési Cél (SDGs – Sustainable Development Goals). Az új, minden nemzetre kiterjedő célok a fent említett megoldandó anomáliákon túl még számos más esetre kiterjedően úgy kívánnak megoldást nyújtani, hogy közben kezeljék az éghajlatváltozás okozta nehézségeket és problémákat, megőrizzék a természeti kincseinket, s elősegítsék a tagállamok gazdasági fejlődését és kooperációs törekvéseiket.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tevékenységem célja, hogy feltérképezzem a hazai top 100 vállalkozás viszonyát a fenntartható fejlődéshez. Az általuk kiadott fenntarthatósági jelentéseket, publikációkat az alapján kívánom vizsgálni, hogy a 2015-ben az ENSZ által elfogadott Fenntartható Fejlődési Célok 17 eleme közül melyek, s azok milyen mélységben jelennek meg bennük. Dolgozatomban összehasonlítom a vizsgált szervezetek által a kiadott fenntarthatósági jelentéseket, s következtetéseket vonok le belőlük. Továbbá javaslatot kívánok fogalmazni azzal kapcsolatban, hogy miért és milyen részletességgel, rendszerességgel lenne célszerű a vállalkozásoknak nem pénzügyi jelentéseket készíteniük.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  <w:r>
        <w:rPr>
          <w:color w:val="000000"/>
          <w:sz w:val="24"/>
          <w:szCs w:val="24"/>
        </w:rPr>
        <w:br/>
        <w:t xml:space="preserve">fenntartható fejlődési célok, fenntarthatóság, fejlődés, innováció, magyar top 100 vállalkozás, gazdaság, társadalom, környezet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31437">
    <w:multiLevelType w:val="hybridMultilevel"/>
    <w:lvl w:ilvl="0" w:tplc="51891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31437">
    <w:abstractNumId w:val="57131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796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