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PATRÍCIA FANNI PORKOLÁB</w:t>
            </w:r>
          </w:p>
          <w:p w:rsidR="00C275A3" w:rsidRDefault="00186641" w:rsidP="00C275A3">
            <w:pPr>
              <w:pStyle w:val="Hallgatokepzes"/>
            </w:pPr>
            <w:r w:rsidRPr="002361E2">
              <w:rPr>
                <w:i/>
              </w:rPr>
              <w:t>patricia.fanni98@gmail.com</w:t>
            </w:r>
            <w:r w:rsidRPr="002361E2">
              <w:rPr>
                <w:i/>
              </w:rPr>
              <w:br/>
            </w:r>
            <w:r w:rsidR="00A96AEC">
              <w:t>MSc in Management and Leadership</w:t>
            </w:r>
            <w:r w:rsidR="00A96AEC">
              <w:br/>
            </w:r>
            <w:r w:rsidR="00E77B23">
              <w:t>MA, 3.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András Dániel PhD</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Borderless sustainability recharged - can the hypermarkets second-hand trade take off?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Globalisation has also led to significant growth in the textile and clothing industry, which has become one of the world's leading industries, accounting for 2% of world GDP. The accelerating world, technological advances and digitalisation are also affecting clothing products, with clothing factories able to launch new collections in shorter and shorter times, with a significant reduction in quality and service life compared to the better-quality products that were previously produced over a longer period. They are also offered to consumers at a lower price, thus encouraging them to keep buying from the new collection, as they are reasonably priced. However, the downside of fast fashion, its social, economic, and environmental impact, is not being given enough attention. The concepts of the circular economy and sustainability are being used almost every day, and the textile and clothing industry is trying to incorporate their guidelines, with varying degrees of success. However, it is also necessary to find a solution for dealing with the large quantities of garments that are produced and scrapped within a relatively short period of time, and second-hand shops are a good solution. In my research, I used a questionnaire to find out how typical it is to shop in second-hand shops in Hungary and Romania, whether there are differences between the two countries in terms of clothing purchasing habits, what characteristics customers have and whether they take environmental aspects into account. Afterwards, using a slightly adapted questionnaire, I repeated the survey in France, the country of origin of the second-hand clothes sale in hypermarkets, in addition to Hungary and Romania. The results confirmed that there is a demand for this type of sale in our country and that it will have a positive impact on the environment in the long term.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83882">
    <w:multiLevelType w:val="hybridMultilevel"/>
    <w:lvl w:ilvl="0" w:tplc="57029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83882">
    <w:abstractNumId w:val="98383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69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