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KRISZTINA KIGLICS</w:t>
            </w:r>
          </w:p>
          <w:p w:rsidR="00C275A3" w:rsidRDefault="00186641" w:rsidP="00C275A3">
            <w:pPr>
              <w:pStyle w:val="Hallgatokepzes"/>
            </w:pPr>
            <w:r w:rsidRPr="002361E2">
              <w:rPr>
                <w:i/>
              </w:rPr>
              <w:t>krisztina194@gmail.com</w:t>
            </w:r>
            <w:r w:rsidRPr="002361E2">
              <w:rPr>
                <w:i/>
              </w:rPr>
              <w:br/>
            </w:r>
            <w:r w:rsidR="00A96AEC">
              <w:t>MSc in Management and Leadership</w:t>
            </w:r>
            <w:r w:rsidR="00A96AEC">
              <w:br/>
            </w:r>
            <w:r w:rsidR="00E77B23">
              <w:t>MA, 3.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Bogdány</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Employer and employee clusters based on HR competency preferences using the Q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word competence has become a fashionable term in public knowledge, and at the same time the main topic of several scientific studies. However, there are still some issues in the field of competency management about which we have limited knowledge, such as the competency gap between employers' needs and the competencies of graduates in HR studies at the university.</w:t>
      </w:r>
    </w:p>
    <w:p>
      <w:pPr>
        <w:widowControl w:val="on"/>
        <w:pBdr/>
        <w:spacing w:before="240" w:after="240" w:line="240" w:lineRule="auto"/>
        <w:ind w:left="0" w:right="0"/>
        <w:jc w:val="left"/>
      </w:pPr>
      <w:r>
        <w:rPr>
          <w:color w:val="000000"/>
          <w:sz w:val="24"/>
          <w:szCs w:val="24"/>
        </w:rPr>
        <w:t xml:space="preserve">The aim of my research is to identify and analyse the HR competency preferences of young graduates in HR from two perspectives, employer and employee. In my research I explore whether different competence preference groups can be formed within the two perspectives. If so, what are the characteristics of each competence preference group in terms of importance rankings and what are the organizational and individual characteristics that describe these groups. Finally, I compare the views of the two perspectives on whether there is a marked difference between the competency preferences set.</w:t>
      </w:r>
    </w:p>
    <w:p>
      <w:pPr>
        <w:widowControl w:val="on"/>
        <w:pBdr/>
        <w:spacing w:before="240" w:after="240" w:line="240" w:lineRule="auto"/>
        <w:ind w:left="0" w:right="0"/>
        <w:jc w:val="left"/>
      </w:pPr>
      <w:r>
        <w:rPr>
          <w:color w:val="000000"/>
          <w:sz w:val="24"/>
          <w:szCs w:val="24"/>
        </w:rPr>
        <w:t xml:space="preserve">In order to do my research I used the Q-methodology. Research participants (50 recent graduates and 68 organisational representatives) rated a list of HR competencies in an online questionnaire. Factor analysis of their responses identified competency preference groups with well-described characteristics and clearly distinguishable rankings. For some competencies, marked differences between the competence preference groups can be identified, but organisational and individual characteristics are not clearly distinguished. This leads to the need to include new individual and organisational characteristics in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44288">
    <w:multiLevelType w:val="hybridMultilevel"/>
    <w:lvl w:ilvl="0" w:tplc="47612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44288">
    <w:abstractNumId w:val="34844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889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