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VADÁSZ EDINA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vadasz.edina.1995@gmail.com</w:t>
            </w:r>
            <w:r w:rsidRPr="002361E2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Széchenyi István Egyetem</w:t>
            </w:r>
            <w:r w:rsidR="00C275A3">
              <w:br/>
            </w:r>
            <w:r w:rsidR="00DB4822">
              <w:t>Apáczai Csere János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Verebélyi Gabriella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SZE AK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konfliktuskezelési stratégiák választási mechanizmusa, nyolcadik osztályos, sajátos nevelési igényű tanulóknál.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Gyakorlati tapasztalataim, és a sok éve a pedagógus szakmában dolgozók véleménye alapján, úgy tűnik, hogy az általános és középfokú oktatásban a legtöbb magatartás és viselkedés problémát az okozza, hogy a tanulók nem ismernek kellő számú konfliktuskezelési stratégiai modellt. Ezért vizsgálatom témája a sajátos nevelési igényű, nyolcadikos gyermekek konfliktuskezelési stratégiai ismereteinek feltérképezése. Feltételezem továbbá, hogy a tanulók konfliktuskezelési stratégia választásában szerepet játszik az adott hangulati állapotuk is. Hipotéziseim vizsgálatához, a Thomas-Kilmann által összeállított konfliktuskezelési tesztet töltettem ki, többségi általános iskolákban, tipikus és atipikus fejlődésű nyolcadik osztályos tanulókkal. A kérdőív felvétele előtt megkértem a gyermekeket, hogy jelöljék meg, hogy a kitöltés előtt milyen hangulatban vannak. Az eredmények feldolgozása után képet kaptam arról, hogy melyek azok a konfliktuskezelési stratégiák, amiket a tanulók ismernek és gyakrabban alkalmaznak a mindennapok során. Felállítottam egy ötfokú sorrendiséget a leggyakrabban és legkevésbé használt konfliktuskezelési módokra. Összefüggéseket kerestem a kitöltő hangulata és a választott konfliktuskezelési modellek között. Kutatási eredményeim alapján elmondható, hogy a tanulók csak nagyon szűk keresztmetszetű ismeretekkel rendelkeznek a lehetséges konfliktuskezelési stratégiák terén, valamint szoros összefüggést találtam a kitöltők hangulata és a választott konfliktuskezelési modellek között. Az eredmények alapján fontosnak tartom, hogy a köznevelésben kiemelten foglalkozzunk a tanulók szociális képességeinek fejlesztésével, ezen belül különösen fókuszálva az érzelmi intelligencia és a konfliktuskezelési stratégiák gazdagítására.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8392192">
    <w:multiLevelType w:val="hybridMultilevel"/>
    <w:lvl w:ilvl="0" w:tplc="384322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8392192">
    <w:abstractNumId w:val="183921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603207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