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farkasnikolett96@gmail.com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Bánki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Váltott gondoskodás, avagy a szülők válnak, a gyermek NEM!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Polgári Törvénykönyvről szóló 2013. évi V. törvény (továbbiakban: Ptk.) családjogi vonatkozású módosítása a civil társadalom részéről már korábban megfogalmazott igény révbeérését jelentette. 2022. január 1-től módosultak a Családjogi Könyv közös szülői felügyeletet érintő rendelkezései, melynek értelmében a polgári peres eljárás során a bíróság már az egyik szülő egyoldalú kérelmére is határozhat arról, hogy a szülői felügyelet a szülők életközösségének megszűnését követően is közös marad. Az említett változás mellett, a gyakorlatban már korábban megjelenő, azonban jogszabályi szinten még nem érvényesülő tendenciát is nevesít a törvény, az ún. váltott gondoskodás intézményét. Az új szabályozás Ptk.-ban történő megjelenését részben a jogszabályi háttér hiánya indokolta, ugyanis a törvény eddig nem rendelkezett arról, hogy pontosan mit is kell váltott gondoskodás alatt érteni, részben a társadalmi változások, külföldi tapasztalatok eredményezték a közös szülői felügyelet és váltott gondoskodás bíróság általi elrendelhetőségének bevezetését.</w:t>
      </w:r>
      <w:r>
        <w:rPr>
          <w:color w:val="000000"/>
          <w:sz w:val="24"/>
          <w:szCs w:val="24"/>
        </w:rPr>
        <w:br/>
        <w:t xml:space="preserve">Dolgozatomban a váltott gondoskodás jogi szabályozásának és gyakorlati érvényesülésének vizsgálatát tűztem ki célul, melyek tanulmányozása során több európai ország gyakorlatát is górcső alá veszem. Célom, hogy választ kapjak arra a központi kérdésre, hogy valóban a gyermekek érdekét szolgálja-e a váltott gondoskodás törvényben szabályozott lehetősége. A tanulmányozott anyagok, beszámolók és kutatások alapján, gondolatindító kérdésemre a válaszom igen. Bár hazánkban még nem tekint vissza olyan nagy múltra, mint a vizsgált országokban, azonban az eddigi törekvések, tapasztalatok és a kialakult gyakorlat alapján, véleményem szerint számos előnye van, elsősorban a gyermekre nézve. Legnagyobb pozitívuma, hogy így a gyermek mindkét szülővel ugyanolyan minőségű kapcsolatot tud fenntartani. Összességében úgy gondolom, hogy azon családok esetében, ahol megfelelőek az előfeltételek, ott mindenképp a gyermek érdekét szolgálja a váltott elhelyezés megvalósulása. Így válhat ezzel a jogintézménnyel a jól ismert győztes – vesztes helyzet, „a nyertes mindent visz” helyzetté, ahol a legnagyobb nyertes maga a kiskorú gyermek.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57557">
    <w:multiLevelType w:val="hybridMultilevel"/>
    <w:lvl w:ilvl="0" w:tplc="61266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57557">
    <w:abstractNumId w:val="417575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7757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