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WANG VIKTÓRIA</w:t>
            </w:r>
          </w:p>
          <w:p w:rsidR="00C275A3" w:rsidRDefault="00186641" w:rsidP="00C275A3">
            <w:pPr>
              <w:pStyle w:val="Hallgatokepzes"/>
            </w:pPr>
            <w:r w:rsidRPr="002361E2">
              <w:rPr>
                <w:i/>
              </w:rPr>
              <w:t>wangviki6@gmail.com</w:t>
            </w:r>
            <w:r w:rsidRPr="002361E2">
              <w:rPr>
                <w:i/>
              </w:rPr>
              <w:br/>
            </w:r>
            <w:r w:rsidR="00A96AEC">
              <w:t>Orvosi diagnosztikai analitikus</w:t>
            </w:r>
            <w:r w:rsidR="00A96AEC">
              <w:br/>
            </w:r>
            <w:r w:rsidR="00E77B23">
              <w:t>BSc, 8.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Stromájer-Rácz Tímea</w:t>
            </w:r>
          </w:p>
          <w:p w:rsidR="00DB4822" w:rsidRDefault="00DB4822" w:rsidP="009763E0">
            <w:pPr>
              <w:pStyle w:val="Konzulensektitulus"/>
            </w:pPr>
            <w:r w:rsidRPr="00DB4822">
              <w:t>képzési igazgató,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KÍNAI GYÓGYNÖVÉNYEK HATÁSMECHANIZMUSÁNAK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heterogén patogén mikroorganizmusok egyre rezisztensebbé válnak a korábban ellenük használt gyógyszerekkel és terápiákkal szemben - amellyel a modern orvoslás is egyre nehezebben tart lépést - ezért szükségessé váltak új módszerek alkalmazása. Ebből kifolyólag vizsgáltuk az Auricularia auricula, Ziziphus jujuba, Angelica sinensis, Zingiber officinale és Jasminum officinale kínai gyógynövények antimikrobiális aktivitását humán patogén baktériumok és gombák ellen, többek között az Escherichia coli, Streptomyces griesus, Bacillus megaterium, Candida albicans, Aspergillus niger mikroorganizmusokkal szemben. </w:t>
      </w:r>
      <w:r>
        <w:rPr>
          <w:color w:val="000000"/>
          <w:sz w:val="24"/>
          <w:szCs w:val="24"/>
        </w:rPr>
        <w:br/>
        <w:t xml:space="preserve">Az experimentális vizsgálataink során a gyógynövények vizes kivonatainak antifungális hatásait vizsgáltuk 48 órán keresztül 4 óránként Candida albicans ellen folyékony tenyészetben összsejtszám meghatározásssal, optikai denzitás méréssel, élősejtszám meghatározással és a telepképző egységek megszámolásával. </w:t>
      </w:r>
      <w:r>
        <w:rPr>
          <w:color w:val="000000"/>
          <w:sz w:val="24"/>
          <w:szCs w:val="24"/>
        </w:rPr>
        <w:br/>
        <w:t xml:space="preserve">Eredményeink azt mutatják, hogy az összes vizsgált kivonat gátolta a gombák szaporodását és növekedését, valamint képesek voltak elpusztítani a gomba sejteket is. A gátlás és a pusztulás mértéke, valamint sebessége az expozíció időtartamától és a gyógynövény fajtájától függött. Korongdiffúziós módszerrel antibakteriális és antifungális hatást vizsgálva azt kaptuk eredményül, hogy az összes gyógynövény kivonat effektív volt a vizsgált mikroorganizmusokkal szemben, kivéve az Angelica sinensis, mert ez a gyógynövény a Gram-pozitív baktériumok ellen hatástalannak bizonyult. A kialakult gátlási zónák átmérője, ennek következtében a gombák és baktériumok érzékenysége az inkubálási időtől, a gyógynövény fajtájától, valamint a kivonatok gyógynövény koncentrációjától függött. A teljes polifenol tartalom Folin- Ciocalteu reagens segítségével spektrofotometriás mérések következtében tájékoztatást adott a gyógynövények polifenol tartalmáról, amely összefüggésben áll a lehetséges antioxidáns aktivitással.</w:t>
      </w:r>
      <w:r>
        <w:rPr>
          <w:color w:val="000000"/>
          <w:sz w:val="24"/>
          <w:szCs w:val="24"/>
        </w:rPr>
        <w:br/>
        <w:t xml:space="preserve">A jelenlegi tanulmány eredményei alapján az általunk vizsgált hagyományos kínai gyógynövények és kivonataik antimikrobiális aktivitásukból kifolyólag akár potenciális antibakteriális és antifungális terápiás szerként, vagy kiegészítő szerként is használhatóak lehetnek mikroorganizmusok okozta fertőzésekben és megbetegedésekben, esetleg</w:t>
      </w:r>
      <w:r>
        <w:rPr>
          <w:color w:val="000000"/>
          <w:sz w:val="24"/>
          <w:szCs w:val="24"/>
        </w:rPr>
        <w:br/>
        <w:t xml:space="preserve">megbetegedések megelőzésében, valamint az különböző iparágak területén is egyaránt. Azonban, a pontos mechanizmusuk és hatásaik felderítéséhez további vizsgálatokra van szükség.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45049">
    <w:multiLevelType w:val="hybridMultilevel"/>
    <w:lvl w:ilvl="0" w:tplc="40746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45049">
    <w:abstractNumId w:val="13745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160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