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KEREKES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zsolt.kerekes999@gmail.com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Tasi Domonkos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Czakó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Ambidens nukleofil SN2 reakciójának kvantumkémiai vizsgálata: a CN⁻ + CH3Y [Y = F, Cl, Br, I] esete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SN2 reakció, inverzió, elölről támadás, stacionárius pont, relatív energia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kvantum- és számításos kémia fejlődésével lehetőség nyílt eddig nem eléggé ismeret módszerek alkalmazására, mely lehetővé tette a bimolekuláris nukleofil szubsztitúciók dinamikájának és mechanizmusának részletes tanulmányozását. A vizsgálatok következtében arra jutottak, hogy a jól ismert mechanizmusokon kívül számos, eddig nem ismert reakcióút létezhet. Ezen fellelkesedve egyre több elméleti és kísérleti kutatócsoport fordítja figyelmét az SN2 rendszerek irányába.Kutatómunkánk célja az volt, hogy feltérképezzük a CN⁻ + CH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Y [Y = F, Cl, Br, I] SN2 reakciók sematikus potenciálisenergia-felültét Møller−Plesset perturbációs módszerrel, majd az így definiált szerkezetek energiáit, geometriáit és rezgési frekvenciáit pontosítsuk explicit-korrelált csatolt klaszter módszerekkel és aug-cc-pVDZ, aug-cc-pVTZ bázisokkal. Ahhoz, hogy a legpontosabb (benchmark) energiaértékeket kapjuk további single-point korrekciós számításokat végeztünk a korábban optimált geometriákon, figyelmbe véve a bázishatást, poszt-(T) korrelációt, a törzselektronok korrelációját és a relativisztikus effektusokat [1]. Továbbá, vizsgáltuk az MP2 módszerek pontosságát különböző eljárások függvényében CCSD(T)-F12b/aug-cc-pVQZ referencia értékekhez viszonyítva. Feladatunk volt még az eredményeinket összevetni a kutatócsoportunk által már feltérképezett NC⁻ + CH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Y [Y = F, Cl, Br, I] SN2 rendszerekkel [2], valamint Roland Wester és munkatársai által elméleti és kísérleti úton is vizsgált CN⁻ + CH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I reakció mechanizmusaival és relatív energiáival [3]. Az eredményeink mind reakciómechanizmusi, mind energetikai szempontból jól alátámasztották a korábbi vizsgálatokat, lehetséges magyarázatot nyújtottak a nagyobb ütközési energiáknál domináns, direkt, hátrafelé szórással járó mechanizmusra.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[1] Kerekes, Z., Tasi, D.A., Czakó, G., J. Phys. Chem. A, 126, 889-900 (2022)</w:t>
      </w:r>
      <w:r>
        <w:rPr>
          <w:color w:val="000000"/>
          <w:sz w:val="24"/>
          <w:szCs w:val="24"/>
        </w:rPr>
        <w:br/>
        <w:t xml:space="preserve">[2] Tasi, D. A., Fábián, Z., Czakó, G., Phys. Chem. Chem. Phys., 21, 7924-7931 (2019)</w:t>
      </w:r>
      <w:r>
        <w:rPr>
          <w:color w:val="000000"/>
          <w:sz w:val="24"/>
          <w:szCs w:val="24"/>
        </w:rPr>
        <w:br/>
        <w:t xml:space="preserve">[3] Carrascosa, E., Bawart, M., Stei, M., Linden, F., Carelli, F., Meyer, J., Geppert, W.D., Gianturco, F.A., Wester, R., J. Chem. Phys., 143, 184309 (2015)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909067">
    <w:multiLevelType w:val="hybridMultilevel"/>
    <w:lvl w:ilvl="0" w:tplc="297643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909067">
    <w:abstractNumId w:val="469090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46720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