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TOKAJI CSENGE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tokajicsenge9@gmail.com</w:t>
            </w:r>
            <w:r w:rsidRPr="001067CD">
              <w:rPr>
                <w:i/>
              </w:rPr>
              <w:br/>
            </w:r>
            <w:r w:rsidR="00A96AEC">
              <w:t>Vegyész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Tasi Domonkos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Czakó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OH− + CH3CH2Y [Y = F, Cl, Br, I] reakciók potenciálisenergia-felületeinek nagypontosságú kvantumkémiai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E2 reakció; SN2 reakció; potenciálisenergia-felület; reakciócsatorna; CCSD(T)-F12b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Kutatásunkat a OH− + CH3CH2Y [Y = F, Cl, Br, I] reakciók potenciálisenergia-felületének nagypontosságú ab initio feltérképezése képezte. Az SN2 reakció során képződő Y− + CH3CH2OH vagy az E2 reakció során képződő Y− + H2O + C2H4 termékek reakcióútját vizsgáltuk átfogóan. Továbbá termékekre is entalpiát számítottunk: H2O + H3C‒CHY−, H− + H3C‒CHYOH, H− + HOH2C‒CH2Y, OHY− + CH3CH2 és HOY + CH3CH2−.</w:t>
      </w:r>
      <w:r>
        <w:rPr>
          <w:color w:val="000000"/>
          <w:sz w:val="24"/>
          <w:szCs w:val="24"/>
        </w:rPr>
        <w:br/>
        <w:t xml:space="preserve">A legjelentősebb stacionárius pontok, azaz a reakciókhoz tartozó minimumok és nyeregpontok megkeresése képezte a munkánk első lépését. Azonosításuk során harmonikus frekvenciaszámítást és szerkezetoptimálást végeztünk MP2/aug-cc-pVDZ szinten. Ezt követően magasabb szinteken is elvégeztük a számításokat CCSD(T)-F12b módszerrel aug-cc-pVDZ és aug-cc-pVTZ báziskészleteken, illetve pontosítás céljából a CCSD(T)-F12b/aug-cc-pVTZ szinten számított geometriák felhasználásával CCSD(T)-F12b/aug-cc-pVQZ szinten energiákat számítottunk. A kapott értékekből meghatároztuk a stacionárius pontok és termékek relatív energiáit, a reaktánsokhoz viszonyítva, továbbá ezekből a zérusponti energiával korrigálva kiszámítottuk a relatív adiabatikus energiákat.</w:t>
      </w:r>
      <w:r>
        <w:rPr>
          <w:color w:val="000000"/>
          <w:sz w:val="24"/>
          <w:szCs w:val="24"/>
        </w:rPr>
        <w:br/>
        <w:t xml:space="preserve">A Walden-inverziós, elölről támadásos, dupla-inverziós, anti-E2 és syn-E2 mechanizmusok vizsgálata 7 minimumot és 5 átmeneti állapotot eredményezett. Minden esetben exotermebb az SN2 volt és a Walden-inverzió energiagát nélkül megy végbe eredményeink szerint. A dupla-inverziós mechanizmusnál a klasszikus (adiabatikus) gátmagasság 22,4 (21,1), 7,4 (6,7), 4,8 (4,3), −0,3 (−0,6) kcal/mol-nak adódott, rendre Y= F, Cl, Br és I esetén. Az elölről támadásos mechanizmusnál ennél nagyobb értékeket kaptunk: 43,4 (43,4), 28,9 (28,8), 22,4 (22,9) és 16,5 (17,0) kcal/mol, ha Y= F, Cl, Br és I. A syn-E2 mechanizmusnál a gátmagasságok −12,4 (−15,0), −15,1 (−17,4), −16,9 (−18,7) kcal/mol Cl-ra, Br-ra és I-ra. Ugyanezen értékek anti-E2 esetén: −3,2 (−6,3), −4,8 (−7,7), −6,6 (−9,4) kcal/mol. Számításaink alapján a OH− + CH3CH2F E2 reakció átmeneti állapotainak létezése kérdéses. Általánosan megállapítható, hogy a halogénatom rendszámának növekedésével az exotermicitása is nő a reakcióknak.</w:t>
      </w:r>
      <w:r>
        <w:rPr>
          <w:color w:val="000000"/>
          <w:sz w:val="24"/>
          <w:szCs w:val="24"/>
        </w:rPr>
        <w:br/>
        <w:t xml:space="preserve">A munkánk eredményeként meghatározott szerkezetek, valamint a klasszikus és az adiabatikus relatív energiák, ezen reakciókra, a legpontosabb elérhető adatok az irodalomban.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115703">
    <w:multiLevelType w:val="hybridMultilevel"/>
    <w:lvl w:ilvl="0" w:tplc="793402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115703">
    <w:abstractNumId w:val="101157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83077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