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MARTON SZABO</w:t>
            </w:r>
          </w:p>
          <w:p w:rsidR="00C275A3" w:rsidRDefault="00186641" w:rsidP="00C275A3">
            <w:pPr>
              <w:pStyle w:val="Hallgatokepzes"/>
            </w:pPr>
            <w:r w:rsidRPr="002361E2">
              <w:rPr>
                <w:i/>
              </w:rPr>
              <w:t>szabo.marton2000@gmail.com</w:t>
            </w:r>
            <w:r w:rsidRPr="002361E2">
              <w:rPr>
                <w:i/>
              </w:rPr>
              <w:br/>
            </w:r>
            <w:r w:rsidR="00A96AEC">
              <w:t>Business Administration and Management</w:t>
            </w:r>
            <w:r w:rsidR="00A96AEC">
              <w:br/>
            </w:r>
            <w:r w:rsidR="00E77B23">
              <w:t>BA, 6. semester</w:t>
            </w:r>
          </w:p>
          <w:p w:rsidR="00C265CE" w:rsidRPr="009E5FF1" w:rsidRDefault="00E77B23" w:rsidP="009763E0">
            <w:pPr>
              <w:pStyle w:val="Hallgatointezmeny-kar"/>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Csilla Mizser</w:t>
            </w:r>
          </w:p>
          <w:p w:rsidR="00DB4822" w:rsidRDefault="00DB4822" w:rsidP="009763E0">
            <w:pPr>
              <w:pStyle w:val="Konzulensektitulus"/>
            </w:pPr>
            <w:r w:rsidRPr="00DB4822">
              <w:t>adjunct,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ON THE SUCCESS OF ORGANIZATIONAL CONFLICT MANAGEMENT AMONG UNIVERSITY STUDENTS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often encounter organizational and corporate conflicts. These conflicts can be internal conflicts or external conflicts. This thesis aims to explore options for conflict management. There are several options for conflict management. In this thesis, I would like to investigate with what methods it is possible to know whether trust is present in the organizational system. In addition to the literature review of conflict management, my objective is to examine how organizational systems handle conflicts. Last but not least, the study wants to show the correlation that the workplaces of higher education students in the labor market depends on the organization’s conflict management method and external and internal organizational trust,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204952">
    <w:multiLevelType w:val="hybridMultilevel"/>
    <w:lvl w:ilvl="0" w:tplc="703599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204952">
    <w:abstractNumId w:val="182049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13251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