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VÉCSI HÉDI</w:t>
            </w:r>
          </w:p>
          <w:p w:rsidR="00C275A3" w:rsidRDefault="00186641" w:rsidP="00C275A3">
            <w:pPr>
              <w:pStyle w:val="Hallgatokepzes"/>
            </w:pPr>
            <w:r w:rsidRPr="002361E2">
              <w:rPr>
                <w:i/>
              </w:rPr>
              <w:t>hedi1019@gmail.com</w:t>
            </w:r>
            <w:r w:rsidRPr="002361E2">
              <w:rPr>
                <w:i/>
              </w:rPr>
              <w:br/>
            </w:r>
            <w:r w:rsidR="00A96AEC">
              <w:t>Nemzetközi gazdálkodás</w:t>
            </w:r>
            <w:r w:rsidR="00A96AEC">
              <w:br/>
            </w:r>
            <w:r w:rsidR="00E77B23">
              <w:t>BSc, 6.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Zoltán</w:t>
            </w:r>
          </w:p>
          <w:p w:rsidR="00DB4822" w:rsidRDefault="00DB4822" w:rsidP="009763E0">
            <w:pPr>
              <w:pStyle w:val="Konzulensektitulus"/>
            </w:pPr>
            <w:r w:rsidRPr="00DB4822">
              <w:t>intézetigazgató, 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London és Párizs fejlődésének 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világvárosok olyan városok, melyek meghatározó befolyással bírnak technológiai, társadalmi, gazdasági vagy kulturális téren a világban. Ezek a városok nélkülözhetetlen szerepet játszanak a világgazdaságban, ilyen globális városok London és Párizs is. Egyes városok a többi városnál gyorsabb ütemben fejlődtek, így korábban is kiemelkedhettek közülük.</w:t>
      </w:r>
      <w:r>
        <w:rPr>
          <w:color w:val="000000"/>
          <w:sz w:val="24"/>
          <w:szCs w:val="24"/>
        </w:rPr>
        <w:br/>
        <w:t xml:space="preserve">Dolgozatomban a világváros elméletek mellett különböző indexek idősoros vizsgálatát is elvégeztem. Mind London, mind pedig Párizs megfelelnek a Brookings Global Cities kritériumainak. Emellett a Brookings Institution által készített globális városi besorolásban mindkét város a „globális óriások” kategóriájába került besorolásra, mely a legnagyobb globális befolyással bíró városok köre. Már ebből jól látható, hogy mely városok London és Párizs vetélytársai a globális térben. Ide sorolható New York, Los Angeles, Oszaka és Tokió is. A Fortune Global 500 vállalati rangsor esetében kevésbé szignifikáns eltérésekkel találkozunk, azonban a GCI és GCO indexek vizsgálata már egyértelműen lehatárolja a városok erősségeinek és gyengeségeinek számító dimenziókat. Ezen vizsgálatok alapján elmondható, hogy habár London mindkét index rangsorának legjobbjai között van, a Brexitet követően az egyes dimenziókban elért pontszámai csökkentek. Végül az IESE Cities in Motion Index 2020-as eredményeit vizsgálva még több különbséget fedeztem fel a két város között. A társadalmi kohézió dimenziójában érte el mindkét város a legalacsonyabb helyezést a kilenc dimenzió közül. A két város stratégiáját leíró dokumentumok vizsgálva elmondható, hogy mindkét város reálisan érzékeli gyengeségeit és az ezekre irányuló fejlesztések és beruházások segítségével csökkenteni kívánja azokat. Erősségeiket, előnyüket igyekeznek továbbra is fenntartani. Ilyenek London esetében az információs infrastruktúra fejlesztése, mely Párizs esetében kifejezetten erősségnek mondható. Párizs stratégiájában kiemelt szerephez jutnak a környezet-, és klímavédelmi beruházások, a fenntarthatóság növelése, valamint a humán erőforrás-fejlesztés.</w:t>
      </w:r>
      <w:r>
        <w:rPr>
          <w:color w:val="000000"/>
          <w:sz w:val="24"/>
          <w:szCs w:val="24"/>
        </w:rPr>
        <w:br/>
        <w:t xml:space="preserve">Összességében mindkét város igyekszik megtartani előnyeit és leküzdeni gyengeségeit. Az egymással való rivalizálás az elkövetkező években várhatóan erősöni fog, mivel a Brexit hatásait kihasználva Párizs valószínűsíthetőleg igyekszik majd átvenni az Európai Unióban London helyét, mely a vállalati szférára ugyanúgy hatást gyakorolhat, mint a politikai, nemzetközi intézményekben betöltött szerepekre.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40576">
    <w:multiLevelType w:val="hybridMultilevel"/>
    <w:lvl w:ilvl="0" w:tplc="40701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40576">
    <w:abstractNumId w:val="50240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008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