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HÉDI VÉCSI</w:t>
            </w:r>
          </w:p>
          <w:p w:rsidR="00C275A3" w:rsidRDefault="00186641" w:rsidP="00C275A3">
            <w:pPr>
              <w:pStyle w:val="Hallgatokepzes"/>
            </w:pPr>
            <w:r w:rsidRPr="002361E2">
              <w:rPr>
                <w:i/>
              </w:rPr>
              <w:t>hedi1019@gmail.com</w:t>
            </w:r>
            <w:r w:rsidRPr="002361E2">
              <w:rPr>
                <w:i/>
              </w:rPr>
              <w:br/>
            </w:r>
            <w:r w:rsidR="00A96AEC">
              <w:t>International Business Economics</w:t>
            </w:r>
            <w:r w:rsidR="00A96AEC">
              <w:br/>
            </w:r>
            <w:r w:rsidR="00E77B23">
              <w:t>BSc, 6.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Zoltán Dr. Nagy</w:t>
            </w:r>
          </w:p>
          <w:p w:rsidR="00DB4822" w:rsidRDefault="00DB4822" w:rsidP="009763E0">
            <w:pPr>
              <w:pStyle w:val="Konzulensektitulus"/>
            </w:pPr>
            <w:r w:rsidRPr="00DB4822">
              <w:t>director of institute, 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comparative analysis of the development of London and Paris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World cities are cities that have a decisive influence on technological, social, economic or cultural spheres in the world. These cities are indispensable global cities, such as London and Paris. Some cities have developed at a faster pace than other cities, and may have risen to prominence earlier of them.</w:t>
      </w:r>
      <w:r>
        <w:rPr>
          <w:color w:val="000000"/>
          <w:sz w:val="24"/>
          <w:szCs w:val="24"/>
        </w:rPr>
        <w:br/>
        <w:t xml:space="preserve">In addition to theories of the world city, my thesis also includes a time-series analysis of various indices time series. Both London and Paris meet the Brookings Global Cities criteria. In addition, the Brookings Institution's Global Cities Classification both cities are classified as 'global giants', a group of cities with the greatest global influence. This alone shows which cities rival London and Paris in the global space. New York, Los Angeles, Osaka and Tokyo are also included. The Fortune Global 500 corporate ranking shows less significant differences, but the GCI and GCO indices clearly delineate the dimensions that are the strengths and weaknesses of cities. These tests show that although London is among the top performers in both index rankings, its scores on each dimension have declined since Brexit. Finally, looking at the results of the IESE Cities in Motion Index 2020, I found even more differences between the two cities. In the dimension of social cohesion, both cities scored the lowest of the nine dimensions. Looking at the documents describing the strategies of the two cities, both cities are realistic about their weaknesses and are seeking to reduce them through improvements and investment. They seek to maintain their strengths and advantages. In the case of London, this is the development of information infrastructure, which is a particular strength in the case of Paris. Paris's strategy gives priority to investment in the environment and climate protection, increasing sustainability and human resources development.</w:t>
      </w:r>
      <w:r>
        <w:rPr>
          <w:color w:val="000000"/>
          <w:sz w:val="24"/>
          <w:szCs w:val="24"/>
        </w:rPr>
        <w:br/>
        <w:t xml:space="preserve">Overall, both cities are seeking to maintain their strengths and overcome their weaknesses. In the upcoming years rivalry is expected to intensify, as a result of Brexit, Paris is likely to seek to take over London's place in the European Union, which could affect the corporate sphere as much as the political one, and the roles in the international institutions.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252353">
    <w:multiLevelType w:val="hybridMultilevel"/>
    <w:lvl w:ilvl="0" w:tplc="142926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252353">
    <w:abstractNumId w:val="1825235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50349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