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ZAPRESKÓ-FARKAS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evelin.zapresko-farkas@uni-miskolc.hu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Marien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megyei jogú városok kommunikációjának versenyképessége, különös tekintettel az online kommunikáció hatására a turizmusban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dinamikus fejlődésének hatására a világ legjelentősebb és leggyorsabban fejlődő iparágává vált, amely az országok gazdaságához nagymértékben hozzájárul. A turizmus, mint fogalmi meghatározás a történelem során jelentős változáson ment keresztül, amely az elemzések tekintetében magába foglalja az időt, a távolságot, a határokon belüli vagy kívüli úticélokat és az utazás során a látogató által igénybe vett szolgáltatásokat</w:t>
      </w:r>
      <w:r>
        <w:rPr>
          <w:color w:val="000000"/>
          <w:sz w:val="24"/>
          <w:szCs w:val="24"/>
        </w:rPr>
        <w:br/>
        <w:t xml:space="preserve">A turizmus rendszerének és környezetének vizsgálata során a kutatók által létrehozott modellek szemléltetik, hogy milyen külső és belső tényezők befolyásolják a kereslet és a kínálat egységét.</w:t>
      </w:r>
      <w:r>
        <w:rPr>
          <w:color w:val="000000"/>
          <w:sz w:val="24"/>
          <w:szCs w:val="24"/>
        </w:rPr>
        <w:br/>
        <w:t xml:space="preserve">Az elemzés további hatékonysága érdekében a turisztikai desztináció, mint fogalmi meghatározás a turizmus fontos alappillérének tekinthető, hisz olyan több dimenziós egység, ahol a kereslet és a kínálat megvalósul. A kínálati tényezők kommunikáció segítségével jut el a látogatóhoz, amely az utazási szándékot segítheti elő. Napjainkban a kommunikáció és az azzal együtt járó információ a legnagyobb értéket képviseli, így már nem csak vállalatok, szervezetek, hanem települések is alkalmazzák, amellyel több potenciális fogyasztót tudnak elérni. Napjainkban a marketingkommunikáció hagyományos és online formában is történhet, de jelen esetben az online kommunikáció kerül középpontba.</w:t>
      </w:r>
      <w:r>
        <w:rPr>
          <w:color w:val="000000"/>
          <w:sz w:val="24"/>
          <w:szCs w:val="24"/>
        </w:rPr>
        <w:br/>
        <w:t xml:space="preserve">Jelen esetben az elemzési egység a magyarországi megyei jogú városok, amelyeknek az online marketingkommunikációs tevékenységük kerül a vizsgálat fókuszába. Az online marketingkommunikációs eszközök közül a hivatalos weboldalak és a közösségi platformok (Facebook, Instagram) kerülnek a vizsgálat középpontjában.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0317">
    <w:multiLevelType w:val="hybridMultilevel"/>
    <w:lvl w:ilvl="0" w:tplc="78655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0317">
    <w:abstractNumId w:val="844203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884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