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BLUMELHUBER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blumelhuberflora@gmail.com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Petrik Lajos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GALLÓ CSILLA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gallocsilla.email@gmail.com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Petrik Lajos Technikum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STEFÁN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stefan.abel@petrik.hu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Petrik Lajos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Gőgh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Kullai-Papp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Aranyhegyi-patak részvízgyűjtőjének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Aranyhegyi-patak a Pilisvörösvári-medence felszíni és felszínközeli vizeit összegyűjtő vízfolyás, amely Óbuda területén éri el a Dunát, lévén annak leghosszabb budai oldalon lévő kisvíz befolyása. Munkánkban a három fő irányból összeáramló patak északi részvízgyűjtőjét vettük alaposabb vizsgálat alá döntően térinformatikai módszerekkel. A terület felszínborítási elemzését a QGIS 3.4. térinformatikai szoftver segítségével végeztük el szakszerű módon, amellyel két patakág környezete területhasználatának arányairól kaphattunk részletes képet. Alaptérképként az hazai 1:10000-es felbontású EOTR bázis megfelelő szelvényeit alkalmaztuk. A vízgyűjtő részterület lehatárolásához az EU-HYDRO térképi adatbázist használtuk, a 3D-s képi megjelenítéshez az Európai Unió, un. EU-DEM (Digitális Magassági Modell) 25m-es élhosszúságú raszteres állományát építettük be. A felszínborítási kategóriák kijelölésénél a Copernicus Landsat tematikáját vettük alapul. A statisztikai kiértékelés után megállapítottuk, hogy, a vegyes erdők jelenléte mellett legalább olyan hangsúlyos a mezőgazdasági termelés, pontosabban a szántóföldi gazdálkodás területhasználata (1/3-1/3 rész).</w:t>
      </w:r>
      <w:r>
        <w:rPr>
          <w:color w:val="000000"/>
          <w:sz w:val="24"/>
          <w:szCs w:val="24"/>
        </w:rPr>
        <w:br/>
        <w:t xml:space="preserve">Az elemzés valódi célja az volt, hogy esetlegesen magyarázatot tudjunk adni az élővizekben több ponton elvégzett kémiai vízvizsgálataink eredményeivel kapcsolatban. Az itt lévő patakágakban és a Házi-réti-tó vizében, továbbá a talajvíz mintában elvégzett műszeres analitikai vizsgálatok segítségével kimutattuk a szántóföldi gazdálkodás közvetlen élővizi környezetre kifejtett terhelő hatását. Az itt gazdálkodók ősz-tavaszi túlzott szerves anyag bevitele az ammónium-ion koncentráció határérték feletti mértékén keresztül látszik, amely az ökológiai egyensúly megteremtésének lehetőségét feltételező tavi életkörnyezet hatására sem mutat csökkenő tendenciát.</w:t>
      </w:r>
      <w:r>
        <w:rPr>
          <w:color w:val="000000"/>
          <w:sz w:val="24"/>
          <w:szCs w:val="24"/>
        </w:rPr>
        <w:br/>
        <w:t xml:space="preserve">A jövőben további vizsgálatokat kívánunk végezni a szerves anyag beviteli források tekintetében (lovardák, komposztáló telep), illetve egy un. természetességi állapot felmérést folytatunk majd le az un. wetland-ek (Határréti-, Házi-réti-tó) környezetében.</w:t>
      </w:r>
      <w:r>
        <w:rPr>
          <w:color w:val="000000"/>
          <w:sz w:val="24"/>
          <w:szCs w:val="24"/>
        </w:rPr>
        <w:br/>
        <w:t xml:space="preserve">Vizsgálati területünket néhány százalékban Natura 2000-es jogszabályi gazdálkodási keretek között művelt területek is borítják. Az erdős és legelős élőhelyek közül egy kisebb területet kiválasztva az NRMH módszer (Nagyfelbontású Repülőgépes Monitoring Hálózat) alapján térképezünk majd fel, hogy a természetességi mutatókat vizsgálva egy adatbázist hozzunk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83750">
    <w:multiLevelType w:val="hybridMultilevel"/>
    <w:lvl w:ilvl="0" w:tplc="14727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83750">
    <w:abstractNumId w:val="51383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811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