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TŐCZIK BENEDEK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toczik.benedek02@gmail.com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Nyirkos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Szószék és parlamenti pulpitus - Papok a politikai életben a XX. századi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katolikus papság politikai tisztségviselését vizsgáltam a XX. századi Magyarországon, különös tekintettel a politikai teológia 1945 utáni bipoláris világrendben történő fejlődésére és a II. Vatikáni Zsinat tanítására.</w:t>
      </w:r>
      <w:r>
        <w:rPr>
          <w:color w:val="000000"/>
          <w:sz w:val="24"/>
          <w:szCs w:val="24"/>
        </w:rPr>
        <w:br/>
        <w:t xml:space="preserve">Arra a kérdésre kerestem a választ, hogy a második világháború utáni időszakban miért került felülvizsgálatra a katolikus papság politikai szerepvállalása és ennek következtében miért alakult úgy, hogy ma már nem jellemző a klerikusok politikai tisztségviselése – ellentétben a korábban bevett gyakorlattal.</w:t>
      </w:r>
      <w:r>
        <w:rPr>
          <w:color w:val="000000"/>
          <w:sz w:val="24"/>
          <w:szCs w:val="24"/>
        </w:rPr>
        <w:br/>
        <w:t xml:space="preserve">A téma elsősorban interdiszciplináris elemzést követelt meg, így a társadalomtudományi és történeti szakirodalom mellett a kánonjog és a teológia vonatkozó fejezetei is tárgyalásra kerültek. Ezt követően proszopográfiai jelleggel ismertettem nyolc olyan katolikus pap életrajzát, akik kiemelkedő szerepet játszottak a XX. századi Magyarország politikai életében.</w:t>
      </w:r>
      <w:r>
        <w:rPr>
          <w:color w:val="000000"/>
          <w:sz w:val="24"/>
          <w:szCs w:val="24"/>
        </w:rPr>
        <w:br/>
        <w:t xml:space="preserve">A Szentszék politikus papokkal kapcsolatos hivatalos álláspontjának módosulását elsősorban két tényező befolyásolta. Egyfelől a szovjet érdekszférába tartozó keleti blokk sajátos helyzete, másfelől a felszabadítás teológiájának latin-amerikai megjelenése. A Tanítóhivatal megítélése szerint mindkét jelenség veszélyt rejtett magában, amennyiben a Katolikus Egyház híveinek megosztásához, és – adott esetben – egymással való szembefordulásához vezethetett.</w:t>
      </w:r>
      <w:r>
        <w:rPr>
          <w:color w:val="000000"/>
          <w:sz w:val="24"/>
          <w:szCs w:val="24"/>
        </w:rPr>
        <w:br/>
        <w:t xml:space="preserve">Így tehát az Egyház katolicitása és a krisztusi tanításhoz való hűsége megkövetelte az addigi gyakorlat megváltoztatását a klérus politikai jelenlétét illetően. A papok magyarországi működése azért is különösen érdekes, mert a Szentszék itt tesztelte előzetesen a térség más államaival is folytatott keleti politikáját, az Ostpolitikot.</w:t>
      </w:r>
      <w:r>
        <w:rPr>
          <w:color w:val="000000"/>
          <w:sz w:val="24"/>
          <w:szCs w:val="24"/>
        </w:rPr>
        <w:br/>
        <w:t xml:space="preserve">Összességében megállapítható, hogy a változás elsősorban a jogalkalmazásban és nem a jogszabályban történt (az 1917-es CIC nagyon hasonlóan szabályozza a kérdést a hatályos 1983-as kódexhez). A II. Vatikáni Zsinat világosan elválasztotta egymástól, hogy mi tartozik a papság és mi a világi krisztushívők felelősségi körébe. Ennek értelmében az aktív társadalmi-politikai szerepvállalás egyértelműen a laikusok feladatát képezi, amely a klerikusi állapottól idegen.</w:t>
      </w:r>
      <w:r>
        <w:rPr>
          <w:color w:val="000000"/>
          <w:sz w:val="24"/>
          <w:szCs w:val="24"/>
        </w:rPr>
        <w:br/>
        <w:t xml:space="preserve">Mindezek ellenére napjainkban is tapasztalható, hogy számos katolikus pap valamilyen formában részese a szűkebb értelemben vett politikai életnek. Dolgozatom az ő megítélésükhöz is egyfajta elméleti keretrendszert kíván nyújtani.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14336">
    <w:multiLevelType w:val="hybridMultilevel"/>
    <w:lvl w:ilvl="0" w:tplc="993542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14336">
    <w:abstractNumId w:val="956143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659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