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IMRE IZABELLA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imreizabella@uni.sapientia.ro</w:t>
            </w:r>
            <w:r w:rsidRPr="002361E2">
              <w:rPr>
                <w:i/>
              </w:rPr>
              <w:br/>
            </w:r>
            <w:r w:rsidR="00A96AEC">
              <w:t>Világ- és összehasonlító irodalom – angol nyelv és irodalom szak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Tapodi Zsuzsanna-Mónika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RO EMTE CSK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Pap Levente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Meghívás lakomára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 mi lehet a közös pont az ókorból származó Satyricon, Scott Fitzgerald</w:t>
      </w:r>
      <w:r>
        <w:rPr>
          <w:color w:val="000000"/>
          <w:sz w:val="24"/>
          <w:szCs w:val="24"/>
        </w:rPr>
        <w:br/>
        <w:t xml:space="preserve">1925-ben kiadott Nagy Gatsbyje, Móricz Zsigmond Ebéd és Aleksandar Gatalica A</w:t>
      </w:r>
      <w:r>
        <w:rPr>
          <w:color w:val="000000"/>
          <w:sz w:val="24"/>
          <w:szCs w:val="24"/>
        </w:rPr>
        <w:br/>
        <w:t xml:space="preserve">nagy háború című műve között? A lakoma, amely végső soron olyan társadalomkritikát</w:t>
      </w:r>
      <w:r>
        <w:rPr>
          <w:color w:val="000000"/>
          <w:sz w:val="24"/>
          <w:szCs w:val="24"/>
        </w:rPr>
        <w:br/>
        <w:t xml:space="preserve">tár az olvasó elé, mely mind az ókorban, mind a XX. században, és természetesen</w:t>
      </w:r>
      <w:r>
        <w:rPr>
          <w:color w:val="000000"/>
          <w:sz w:val="24"/>
          <w:szCs w:val="24"/>
        </w:rPr>
        <w:br/>
        <w:t xml:space="preserve">napjainkban is igen aktuális sztereotípiákat támaszt alá.</w:t>
      </w:r>
      <w:r>
        <w:rPr>
          <w:color w:val="000000"/>
          <w:sz w:val="24"/>
          <w:szCs w:val="24"/>
        </w:rPr>
        <w:br/>
        <w:t xml:space="preserve">Kutatásom célja megvizsgálni, hogyan „kerül terítékre” a társadalom átfogó</w:t>
      </w:r>
      <w:r>
        <w:rPr>
          <w:color w:val="000000"/>
          <w:sz w:val="24"/>
          <w:szCs w:val="24"/>
        </w:rPr>
        <w:br/>
        <w:t xml:space="preserve">képe az evés kultúrájában. Az összehasonlító motívumkutatás révén szeretném</w:t>
      </w:r>
      <w:r>
        <w:rPr>
          <w:color w:val="000000"/>
          <w:sz w:val="24"/>
          <w:szCs w:val="24"/>
        </w:rPr>
        <w:br/>
        <w:t xml:space="preserve">tanulmányozni azokat az elemeket, amelyek megteremtik és folyamatos mozgásban</w:t>
      </w:r>
      <w:r>
        <w:rPr>
          <w:color w:val="000000"/>
          <w:sz w:val="24"/>
          <w:szCs w:val="24"/>
        </w:rPr>
        <w:br/>
        <w:t xml:space="preserve">tartják a társadalmi dinamikát, amelyek bemutatják, hogyan megy végbe az alsóbb</w:t>
      </w:r>
      <w:r>
        <w:rPr>
          <w:color w:val="000000"/>
          <w:sz w:val="24"/>
          <w:szCs w:val="24"/>
        </w:rPr>
        <w:br/>
        <w:t xml:space="preserve">társadalmi rétegből történő felkapaszkodás vagy éppen a hanyatlás. Az a</w:t>
      </w:r>
      <w:r>
        <w:rPr>
          <w:color w:val="000000"/>
          <w:sz w:val="24"/>
          <w:szCs w:val="24"/>
        </w:rPr>
        <w:br/>
        <w:t xml:space="preserve">felkapaszkodás, mely Petronius és Fitzgerald művében hivalkodó extravaganciát,</w:t>
      </w:r>
      <w:r>
        <w:rPr>
          <w:color w:val="000000"/>
          <w:sz w:val="24"/>
          <w:szCs w:val="24"/>
        </w:rPr>
        <w:br/>
        <w:t xml:space="preserve">Móricz művében groteszk társadalomképet eredményez, Gatalica regényében pedig a</w:t>
      </w:r>
      <w:r>
        <w:rPr>
          <w:color w:val="000000"/>
          <w:sz w:val="24"/>
          <w:szCs w:val="24"/>
        </w:rPr>
        <w:br/>
        <w:t xml:space="preserve">háború által a feje tetejére állított világ torzképeként jelenik meg a társadalmi</w:t>
      </w:r>
      <w:r>
        <w:rPr>
          <w:color w:val="000000"/>
          <w:sz w:val="24"/>
          <w:szCs w:val="24"/>
        </w:rPr>
        <w:br/>
        <w:t xml:space="preserve">dinamizmus. Továbbá szeretnék kitérni a lakomák apró mozzanataira, melyek</w:t>
      </w:r>
      <w:r>
        <w:rPr>
          <w:color w:val="000000"/>
          <w:sz w:val="24"/>
          <w:szCs w:val="24"/>
        </w:rPr>
        <w:br/>
        <w:t xml:space="preserve">meghatározzák az emberek hovatartozását, egymás közötti kapcsolatait; ekképpen</w:t>
      </w:r>
      <w:r>
        <w:rPr>
          <w:color w:val="000000"/>
          <w:sz w:val="24"/>
          <w:szCs w:val="24"/>
        </w:rPr>
        <w:br/>
        <w:t xml:space="preserve">megállapíthatóvá válik, hogy a lakomák nem csupán egyszerű étkezések, hanem olyan</w:t>
      </w:r>
      <w:r>
        <w:rPr>
          <w:color w:val="000000"/>
          <w:sz w:val="24"/>
          <w:szCs w:val="24"/>
        </w:rPr>
        <w:br/>
        <w:t xml:space="preserve">rituális szokások voltak, melyek megformálták a társadalmat és jellegzetes hatást</w:t>
      </w:r>
      <w:r>
        <w:rPr>
          <w:color w:val="000000"/>
          <w:sz w:val="24"/>
          <w:szCs w:val="24"/>
        </w:rPr>
        <w:br/>
        <w:t xml:space="preserve">gyakoroltak a kor emberére.</w:t>
      </w:r>
      <w:r>
        <w:rPr>
          <w:color w:val="000000"/>
          <w:sz w:val="24"/>
          <w:szCs w:val="24"/>
        </w:rPr>
        <w:br/>
        <w:t xml:space="preserve">A kutatásban szeretném feltárni a négy mű sajátos világát az összehasonlító</w:t>
      </w:r>
      <w:r>
        <w:rPr>
          <w:color w:val="000000"/>
          <w:sz w:val="24"/>
          <w:szCs w:val="24"/>
        </w:rPr>
        <w:br/>
        <w:t xml:space="preserve">elemzés és intertextualitás révén, külön figyelmet szentelve az étkezés lélektani</w:t>
      </w:r>
      <w:r>
        <w:rPr>
          <w:color w:val="000000"/>
          <w:sz w:val="24"/>
          <w:szCs w:val="24"/>
        </w:rPr>
        <w:br/>
        <w:t xml:space="preserve">aspektusainak. A kutatási eredmények újszerűsége a közös motívumok szövegszervező</w:t>
      </w:r>
      <w:r>
        <w:rPr>
          <w:color w:val="000000"/>
          <w:sz w:val="24"/>
          <w:szCs w:val="24"/>
        </w:rPr>
        <w:br/>
        <w:t xml:space="preserve">elvként történő megjelenésének bemutatása az étkezés kultúrájának perspektívájából.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470471">
    <w:multiLevelType w:val="hybridMultilevel"/>
    <w:lvl w:ilvl="0" w:tplc="644644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470471">
    <w:abstractNumId w:val="454704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52604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