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JENEI LAURA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jenei.laura.barbara@gmail.com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Kollár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Szuroczki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Imidazopiridin-vázas arilészterek előállítása homogénkatalitikus ariloxikarbonilezési reakcióban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ariloxikarbonilezés; homogén katalízis; imidazopiridin; palládium katalizált kapcsolás; szén-monoxid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imidazo[1,2-</w:t>
      </w:r>
      <w:r>
        <w:rPr>
          <w:i/>
          <w:color w:val="000000"/>
          <w:sz w:val="24"/>
          <w:szCs w:val="24"/>
        </w:rPr>
        <w:t xml:space="preserve">a</w:t>
      </w:r>
      <w:r>
        <w:rPr>
          <w:color w:val="000000"/>
          <w:sz w:val="24"/>
          <w:szCs w:val="24"/>
        </w:rPr>
        <w:t xml:space="preserve">]piridin számos biológiailag aktív vegyületben szerepel szerkezeti egységként, jelentős biológiai aktivitásának köszönhetően korábban is sokat kutatott nitrogéntartalmú heterociklus. Munkám során gyűrűzárási reakciókban nyolc különféleképpen szubsztituált, 2-es és 3-as helyzetben jódozott imidazo[1,2-</w:t>
      </w:r>
      <w:r>
        <w:rPr>
          <w:i/>
          <w:color w:val="000000"/>
          <w:sz w:val="24"/>
          <w:szCs w:val="24"/>
        </w:rPr>
        <w:t xml:space="preserve">a</w:t>
      </w:r>
      <w:r>
        <w:rPr>
          <w:color w:val="000000"/>
          <w:sz w:val="24"/>
          <w:szCs w:val="24"/>
        </w:rPr>
        <w:t xml:space="preserve">]piridin alapvázat állítottam elő, melyeket a későbbiekben palládium-katalizált homogénkatalitikus alkoxi- és ariloxikarbonilezési reakciókban tovább reagáltattam. A 2-es helyzetben jódot tartalmazó alapvázak karbonilatív reakciói </w:t>
      </w:r>
      <w:r>
        <w:rPr>
          <w:i/>
          <w:color w:val="000000"/>
          <w:sz w:val="24"/>
          <w:szCs w:val="24"/>
        </w:rPr>
        <w:t xml:space="preserve">O</w:t>
      </w:r>
      <w:r>
        <w:rPr>
          <w:color w:val="000000"/>
          <w:sz w:val="24"/>
          <w:szCs w:val="24"/>
        </w:rPr>
        <w:t xml:space="preserve">-nukleofilekkel sikeresnek bizonyultak, több mint 30-féle vegyületet állítottam így elő. A sztérikusan gátolt </w:t>
      </w:r>
      <w:r>
        <w:rPr>
          <w:i/>
          <w:color w:val="000000"/>
          <w:sz w:val="24"/>
          <w:szCs w:val="24"/>
        </w:rPr>
        <w:t xml:space="preserve">O</w:t>
      </w:r>
      <w:r>
        <w:rPr>
          <w:color w:val="000000"/>
          <w:sz w:val="24"/>
          <w:szCs w:val="24"/>
        </w:rPr>
        <w:t xml:space="preserve">-nukleofilek esetében a hasonló konverziók eléréséhez hosszabb reakcióidőkre volt szükség. Az elektronszívó szubsztituenseket tartalmazó </w:t>
      </w:r>
      <w:r>
        <w:rPr>
          <w:i/>
          <w:color w:val="000000"/>
          <w:sz w:val="24"/>
          <w:szCs w:val="24"/>
        </w:rPr>
        <w:t xml:space="preserve">O</w:t>
      </w:r>
      <w:r>
        <w:rPr>
          <w:color w:val="000000"/>
          <w:sz w:val="24"/>
          <w:szCs w:val="24"/>
        </w:rPr>
        <w:t xml:space="preserve">-nukleofilek esetében a szubsztrátum átalakulása (jódvesztés mellett) nőtt, ily módon az észter céltermék izolált hozama csökkent.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08659">
    <w:multiLevelType w:val="hybridMultilevel"/>
    <w:lvl w:ilvl="0" w:tplc="84343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08659">
    <w:abstractNumId w:val="77208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636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