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KOVÁCS-MAJOR BEATRIX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majortrixi@gmail.com</w:t>
            </w:r>
            <w:r w:rsidRPr="002361E2">
              <w:rPr>
                <w:i/>
              </w:rPr>
              <w:br/>
            </w:r>
            <w:r w:rsidR="00A96AEC">
              <w:t>pszichológia</w:t>
            </w:r>
            <w:r w:rsidR="00A96AEC">
              <w:br/>
            </w:r>
            <w:r w:rsidR="00E77B23">
              <w:t>MA,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Takács Szabolcs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KRE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tanulmányi eredményességre ható tényezők vizsgálata a diákok teljesítményének, jövőképi motiváltságának, családi háttértényezőinek, valamint különórákon való részvételének összefüggési struktúrája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Kutatásomban a magyar oktatásban az utóbbi évtizedekben megfigyelhető expanzióval kapcsolatosan kezdtem el vizsgálat alá venni a diákok teljesítményét. Az egyre szélesebb körben elérhető magas iskolai végzettség fontos a későbbi munkavallalás szempontjából, meghatározza a munkaerőpiac alakulását, s ennek folytán a gazdasági világra is hat.</w:t>
      </w:r>
      <w:r>
        <w:rPr>
          <w:color w:val="000000"/>
          <w:sz w:val="24"/>
          <w:szCs w:val="24"/>
        </w:rPr>
        <w:br/>
        <w:t xml:space="preserve">Ezért fontos kérdés tehát az, hogy a diákok tervei a magasabb fokú képzésekben való részvételükre vonatkozóan valóban párhuzamban vannak-e a tanulmányi eredményeikkel, valamint az, hogy e tanulmányi eredményesség hátterében mik állhatnak.</w:t>
      </w:r>
      <w:r>
        <w:rPr>
          <w:color w:val="000000"/>
          <w:sz w:val="24"/>
          <w:szCs w:val="24"/>
        </w:rPr>
        <w:br/>
        <w:t xml:space="preserve">A dolgozat részletesen ismerteti az Országos kompetenciamérés 2012 és 2019 közt gyűjtött adatai segítségével a magyar diákok tanulmányi teljesítményét a Covid miatti pandémia előtti 8 évre vonatkozóan. A kutatásban a tanulmányi eredményesség mutatóit az évenkénti kompetenciamérés adatai közül a matematikai- és a szövegértési feladatokban elért pontszámok adják.</w:t>
      </w:r>
      <w:r>
        <w:rPr>
          <w:color w:val="000000"/>
          <w:sz w:val="24"/>
          <w:szCs w:val="24"/>
        </w:rPr>
        <w:br/>
        <w:t xml:space="preserve">Bemutatásra kerül a „családi háttér-index”fontossága. A család tekintetében kutatásom kiterjedt még a gyermek életébe való szülői bevonódás mértékének jelentősségére. Majd vizsgálódásomba emeltem a tanulmányi eredményességnek a különórákon való részvételről gyűjtött adatokkal való egybevetését is.</w:t>
      </w:r>
      <w:r>
        <w:rPr>
          <w:color w:val="000000"/>
          <w:sz w:val="24"/>
          <w:szCs w:val="24"/>
        </w:rPr>
        <w:br/>
        <w:t xml:space="preserve">Kérdéseim közt szerepelt, hogy ezek a tényezők, milyen kapcsolatban állnak az eredményességgel, milyen távon, és mely életkorban milyen súllyal jelennek meg az összefüggés rendszerben, valamint, hogy tapasztalható e a verikális vizsgálódáson túl horizontálisan eltérés. Ezért nem csupán évenkénti, hanem régiónkénti bontásban is vizsgáltam az összefüggéseket.</w:t>
      </w:r>
      <w:r>
        <w:rPr>
          <w:color w:val="000000"/>
          <w:sz w:val="24"/>
          <w:szCs w:val="24"/>
        </w:rPr>
        <w:br/>
        <w:t xml:space="preserve">Mivel a kutatás során a kapcsolati háló kiszélesítésével több változó kapcsolatának vizsgálata is ellenőrizhető, így még több változó, a fegyelmi- és tanulási nehézségek hatásai, valamint az iskolai környezet motivációs hatásai is vizsgálat alá kerültek, ahol erős korrelációs kapcsolatot találtam.</w:t>
      </w:r>
      <w:r>
        <w:rPr>
          <w:color w:val="000000"/>
          <w:sz w:val="24"/>
          <w:szCs w:val="24"/>
        </w:rPr>
        <w:br/>
        <w:t xml:space="preserve">Célom az volt, hogy e struktúra állandóságát évenkénti és régiónkénti bontásban is vizsgáljam. Ezután sor került az évfolyamonkénti bontásra is, ahol kutatásom érdekességként tárta fel a tényt, hogy a középiskolai évfolyamokba járó diákok közt új összefüggések teremtődtek a tanulmányi eredményességgel. Az iskolai motivációval, eddig nem látott erősséggel, korrelációk sokasága jelent meg.</w:t>
      </w:r>
      <w:r>
        <w:rPr>
          <w:color w:val="000000"/>
          <w:sz w:val="24"/>
          <w:szCs w:val="24"/>
        </w:rPr>
        <w:br/>
        <w:t xml:space="preserve">További érdeklődés tárgya lehet, hogy ezen erősödő korrelációk hogyan alakulhattak 2019 óta.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9199833">
    <w:multiLevelType w:val="hybridMultilevel"/>
    <w:lvl w:ilvl="0" w:tplc="6240130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9199833">
    <w:abstractNumId w:val="591998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8273359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