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JENEI KAMILLA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kamilla.jenei7@gmail.com</w:t>
            </w:r>
            <w:r w:rsidRPr="002361E2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Heltai János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Szóhatárok jelölése heterográf írásmód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kutatási kérdése arra irányul, hogy hogyan alakul a szóhatárok jelölése heterográf írásmód esetén. A dolgozatban elemzett szövegek négy olyan romani nyelvű mesekönyvből származnak, amelyek eredetileg magyar nyelvű cigány mesék romani fordításait tartalmazzák. A fordításokat tiszavasvári, romani-magyar kétnyelvű beszélők és egyetemisták egy kutatócsoport tagjaiként közösen készítették el. A roma résztvevők a romani szövegeket a helyi beszédmódoknak megfelelően, a kiejtés elvét követve, az általuk tanult és ismert magyar betűkészletet használva írták le. A szövegek heterográf jelleget mutatnak, mivel nem egy helyesírási rendszer (normái) mentén íródtak. A dolgozat hipotézise szerint feltételezhető, hogy a szövegek írásmódja a szóhatárok kijelölésének tekintetében nem egységes mintázatokat mutat, mivel szerzői nem a sztenderd változat beszélői.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nyelvet mint cselekvést („languaging” [Li 2018]) állítja középpontba, valamint Ong (2010 [1982]) koncepcióját követve az írott szavakra is cselekvések leképezéseként tekint. A dolgozat tárgyalja továbbá a szóbeliség és írásbeliség közötti feszültséget, illetve a szó mint nyelvi kategória meghatározásának különböző elméleteit, rámutatva arra, hogy a szó definíciója korántsem egyértelmű és univerzális.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elemzései egy – a négy mesekönyvben négy változatban szereplő – mese részletein alapulnak. A szövegek heterogenitását az elemzés kiválasztott nyelvi elemek összehasonlításával, egy morfológiai művelet (az igekötőzés) változatosságával, illetve a mesekönyvek egyikének írójával és egy helyi romani beszélővel közösen végzett elemzéssel mutatja be. Az elemzés – a szövegek pedagógiai alkalmazásának lehetőségeit keresve és a szövegek recepcióját érintve – kitér a heterográf szövegek olvasására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elemzések eredményei szerint a szó (mint egységes és egyezményes alakváltozat) nem rögzített egy-egy közösségen belül sem, ugyanakkor a szóhatárok eltérő jelölésmódjai nem okoznak jelentésbeli változásokat. Éppen ezért az alakváltozatok olyan szemantikai egységekként értelmezhetők, amiket a beszélő egyéni percepciója alapján reprezentál írásban.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Hivatkozások</w:t>
      </w:r>
      <w:r>
        <w:rPr>
          <w:color w:val="000000"/>
          <w:sz w:val="24"/>
          <w:szCs w:val="24"/>
        </w:rPr>
        <w:br/>
        <w:t xml:space="preserve">Li Wei 2018. Translanguaging as a Practical Theory of Language. Applied Linguistic 2018: 39/1.</w:t>
      </w:r>
      <w:r>
        <w:rPr>
          <w:color w:val="000000"/>
          <w:sz w:val="24"/>
          <w:szCs w:val="24"/>
        </w:rPr>
        <w:br/>
        <w:t xml:space="preserve">Ong, Walter J. 2010 [1982]. Szóbeliség és írásbeliség. A szó technologizálása. Alkalmazott Kommunikációtudományi Intézet – Gondolat Kiadó, Budapest.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12361">
    <w:multiLevelType w:val="hybridMultilevel"/>
    <w:lvl w:ilvl="0" w:tplc="93722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12361">
    <w:abstractNumId w:val="539123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303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