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CSÁKI LILLA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cslilla109@gmail.com</w:t>
            </w:r>
            <w:r w:rsidRPr="002361E2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Szenes Zoltán ny. vezérezredes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emeritus professzor,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Bosznia-Hercegovina EU integrációs kihívásai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munkámban Bosznia-Hercegovina EU-integrációs lehetőségeit vizsgáltam, történeti és</w:t>
      </w:r>
      <w:r>
        <w:rPr>
          <w:color w:val="000000"/>
          <w:sz w:val="24"/>
          <w:szCs w:val="24"/>
        </w:rPr>
        <w:br/>
        <w:t xml:space="preserve">háborús múltjára, illetve a Daytoni Békeszerződés kihívásaira alapozva. Feltártam azokat a</w:t>
      </w:r>
      <w:r>
        <w:rPr>
          <w:color w:val="000000"/>
          <w:sz w:val="24"/>
          <w:szCs w:val="24"/>
        </w:rPr>
        <w:br/>
        <w:t xml:space="preserve">tényezőket, amelyek befolyásolták az ország európaizálódását, és nemzeti identitásának</w:t>
      </w:r>
      <w:r>
        <w:rPr>
          <w:color w:val="000000"/>
          <w:sz w:val="24"/>
          <w:szCs w:val="24"/>
        </w:rPr>
        <w:br/>
        <w:t xml:space="preserve">kialakulását, amelyek mai napig hatással vannak a fejlődésre, a csatlakozási folyamat</w:t>
      </w:r>
      <w:r>
        <w:rPr>
          <w:color w:val="000000"/>
          <w:sz w:val="24"/>
          <w:szCs w:val="24"/>
        </w:rPr>
        <w:br/>
        <w:t xml:space="preserve">alakulására.</w:t>
      </w:r>
      <w:r>
        <w:rPr>
          <w:color w:val="000000"/>
          <w:sz w:val="24"/>
          <w:szCs w:val="24"/>
        </w:rPr>
        <w:br/>
        <w:t xml:space="preserve">A téma aktualitását továbbá a felforrósodott nemzetközi környezet, Oroszország befolyása a</w:t>
      </w:r>
      <w:r>
        <w:rPr>
          <w:color w:val="000000"/>
          <w:sz w:val="24"/>
          <w:szCs w:val="24"/>
        </w:rPr>
        <w:br/>
        <w:t xml:space="preserve">balkáni térségben, a Daytoni Békeszerződés politikai, gazdasági, katonai, illetve külpolitikai</w:t>
      </w:r>
      <w:r>
        <w:rPr>
          <w:color w:val="000000"/>
          <w:sz w:val="24"/>
          <w:szCs w:val="24"/>
        </w:rPr>
        <w:br/>
        <w:t xml:space="preserve">aspektusainak felülvizsgálata, a stagnáló fejlődés, valamint a boszniai entitások közötti politikai</w:t>
      </w:r>
      <w:r>
        <w:rPr>
          <w:color w:val="000000"/>
          <w:sz w:val="24"/>
          <w:szCs w:val="24"/>
        </w:rPr>
        <w:br/>
        <w:t xml:space="preserve">patthelyzet adja.</w:t>
      </w:r>
      <w:r>
        <w:rPr>
          <w:color w:val="000000"/>
          <w:sz w:val="24"/>
          <w:szCs w:val="24"/>
        </w:rPr>
        <w:br/>
        <w:t xml:space="preserve">Az EU 1995-től kezdve nagy szerepet vállal a stabilitás megőrzésében, az ország elsődleges</w:t>
      </w:r>
      <w:r>
        <w:rPr>
          <w:color w:val="000000"/>
          <w:sz w:val="24"/>
          <w:szCs w:val="24"/>
        </w:rPr>
        <w:br/>
        <w:t xml:space="preserve">finanszírozója, 2004 óta pedig a teljes integrációs folyamat az ő kezeiben van. Azonban számos</w:t>
      </w:r>
      <w:r>
        <w:rPr>
          <w:color w:val="000000"/>
          <w:sz w:val="24"/>
          <w:szCs w:val="24"/>
        </w:rPr>
        <w:br/>
        <w:t xml:space="preserve">problémába ütközik a béke fenntartása, a központi intézmények létrehozása, illetve</w:t>
      </w:r>
      <w:r>
        <w:rPr>
          <w:color w:val="000000"/>
          <w:sz w:val="24"/>
          <w:szCs w:val="24"/>
        </w:rPr>
        <w:br/>
        <w:t xml:space="preserve">működtetése, amely nagyobb mértékű kooperációt igényelne Bosznia-Hercegovina, az országot</w:t>
      </w:r>
      <w:r>
        <w:rPr>
          <w:color w:val="000000"/>
          <w:sz w:val="24"/>
          <w:szCs w:val="24"/>
        </w:rPr>
        <w:br/>
        <w:t xml:space="preserve">alkotó entitások, az EU és más nemzetközi szereplők között. Dolgozatomban ezekre az</w:t>
      </w:r>
      <w:r>
        <w:rPr>
          <w:color w:val="000000"/>
          <w:sz w:val="24"/>
          <w:szCs w:val="24"/>
        </w:rPr>
        <w:br/>
        <w:t xml:space="preserve">együttműködési hiátusokra világítottam rá, értékeltem az immár évtizedek óta húzódó</w:t>
      </w:r>
      <w:r>
        <w:rPr>
          <w:color w:val="000000"/>
          <w:sz w:val="24"/>
          <w:szCs w:val="24"/>
        </w:rPr>
        <w:br/>
        <w:t xml:space="preserve">integrációs folyamatot, rámutattam azokra a problémákra, amelyek fejlődést igényelnek.</w:t>
      </w:r>
      <w:r>
        <w:rPr>
          <w:color w:val="000000"/>
          <w:sz w:val="24"/>
          <w:szCs w:val="24"/>
        </w:rPr>
        <w:br/>
        <w:t xml:space="preserve">Fontosnak tartom kiemelni az ország belső integrációjának elsődlegeségét, amely</w:t>
      </w:r>
      <w:r>
        <w:rPr>
          <w:color w:val="000000"/>
          <w:sz w:val="24"/>
          <w:szCs w:val="24"/>
        </w:rPr>
        <w:br/>
        <w:t xml:space="preserve">elengedhetetlen ahhoz, hogy képes legyen az Euro-Atlanti térség teljesértékű tagjává válni,</w:t>
      </w:r>
      <w:r>
        <w:rPr>
          <w:color w:val="000000"/>
          <w:sz w:val="24"/>
          <w:szCs w:val="24"/>
        </w:rPr>
        <w:br/>
        <w:t xml:space="preserve">képviselni azokat az értékeket, amelyek ezt a régiót meghatározzák.</w:t>
      </w:r>
      <w:r>
        <w:rPr>
          <w:color w:val="000000"/>
          <w:sz w:val="24"/>
          <w:szCs w:val="24"/>
        </w:rPr>
        <w:br/>
        <w:t xml:space="preserve">Kutatásom során egyaránt támaszkodtam az EU hivatalos dokumentumaira, jelentéseire a</w:t>
      </w:r>
      <w:r>
        <w:rPr>
          <w:color w:val="000000"/>
          <w:sz w:val="24"/>
          <w:szCs w:val="24"/>
        </w:rPr>
        <w:br/>
        <w:t xml:space="preserve">boszniai integrációval kapcsolatban, hazai és külföldi szakirodalomra, hogy széleskörű</w:t>
      </w:r>
      <w:r>
        <w:rPr>
          <w:color w:val="000000"/>
          <w:sz w:val="24"/>
          <w:szCs w:val="24"/>
        </w:rPr>
        <w:br/>
        <w:t xml:space="preserve">megértést nyerhessek a különböző célokról és álláspontokról, továbbá szakmai konzultációkra a</w:t>
      </w:r>
      <w:r>
        <w:rPr>
          <w:color w:val="000000"/>
          <w:sz w:val="24"/>
          <w:szCs w:val="24"/>
        </w:rPr>
        <w:br/>
        <w:t xml:space="preserve">témavezetőmmel, és más szakértőkkel.</w:t>
      </w:r>
      <w:r>
        <w:rPr>
          <w:color w:val="000000"/>
          <w:sz w:val="24"/>
          <w:szCs w:val="24"/>
        </w:rPr>
        <w:br/>
        <w:t xml:space="preserve">Magyarország szoros kapcsolatokat ápol Bosznia-Hercegovinával, illetve kezdetektől fogva</w:t>
      </w:r>
      <w:r>
        <w:rPr>
          <w:color w:val="000000"/>
          <w:sz w:val="24"/>
          <w:szCs w:val="24"/>
        </w:rPr>
        <w:br/>
        <w:t xml:space="preserve">jelentős erővel vesz részt az EU által működtetett EUFOR Althea békefenntartó műveletben. A</w:t>
      </w:r>
      <w:r>
        <w:rPr>
          <w:color w:val="000000"/>
          <w:sz w:val="24"/>
          <w:szCs w:val="24"/>
        </w:rPr>
        <w:br/>
        <w:t xml:space="preserve">magyar kül-, biztonság- és védelempolitika folyamatosan támogatja az ország integrációs</w:t>
      </w:r>
      <w:r>
        <w:rPr>
          <w:color w:val="000000"/>
          <w:sz w:val="24"/>
          <w:szCs w:val="24"/>
        </w:rPr>
        <w:br/>
        <w:t xml:space="preserve">törekvéseit.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77749">
    <w:multiLevelType w:val="hybridMultilevel"/>
    <w:lvl w:ilvl="0" w:tplc="61310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77749">
    <w:abstractNumId w:val="866777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319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