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ADAM KRIPKO</w:t>
            </w:r>
          </w:p>
          <w:p w:rsidR="00C275A3" w:rsidRDefault="00186641" w:rsidP="00C275A3">
            <w:pPr>
              <w:pStyle w:val="Hallgatokepzes"/>
            </w:pPr>
            <w:r w:rsidRPr="002361E2">
              <w:rPr>
                <w:i/>
              </w:rPr>
              <w:t>kripek13@gmail.com</w:t>
            </w:r>
            <w:r w:rsidRPr="002361E2">
              <w:rPr>
                <w:i/>
              </w:rPr>
              <w:br/>
            </w:r>
            <w:r w:rsidR="00A96AEC">
              <w:t>International Security and Defence Policy</w:t>
            </w:r>
            <w:r w:rsidR="00A96AEC">
              <w:br/>
            </w:r>
            <w:r w:rsidR="00E77B23">
              <w:t>MSc, 2.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Lt. Col. Csaba Vida, PhD</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Central European security system in the 21st century – The rise of regionalism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Mainly due to globalisation and the ever-growing importance of non-state actors, the security environment of the 21st century triggered the emergence of many challenges and threats that cannot be effectively handled by one country alone. The core thesis of this study is that even though the world is heading towards globalisation, the world of security policy is experiencing the process of regionalisation. Ever since the end of the Cold War, Central Europe both intentionally and unintentionally enhanced and promoted regionalism, which tendency was primarily the result of Euro-Atlantic integration. The theoretical basis of this study was built on the theory of regional security complexes, a theory linked to the school of thought called the "Copenhagen School", which is well-known within the field of international relations. In my study, I applied said theory in the context of Central Europe and analysed the dynamics within the region with a focus on security cooperation. Central Europe is considered a subcomplex, in which, many cooperation organisations have been formed based on shared values and interests. These formations are then used within major international organizations – such as NATO and the EU – to influence the decision-making processes within those organisations. As a result of this study, I have concluded that in these cooperation organisations, the dimensions of security and defence policy have a significant role as a means to better enforce the interests of Central European countries. The continuously expanding and deepening regional cooperation organisations are not formed to hinder, but rather to promote and improve the EuroAtlantic integration process. The regional cooperation organizations presented in this study are political in nature, thus they can show few tangible results. However, the main appeal of these formations is their nonbinding and consultative nature, since member states are able to shape the regional organization according to their own political will, eventually also having an impact on the actual decisionmaking processes of major international organizations.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07281">
    <w:multiLevelType w:val="hybridMultilevel"/>
    <w:lvl w:ilvl="0" w:tplc="76584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07281">
    <w:abstractNumId w:val="69807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441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