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LAZARIUC IVÁN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ivanchik1997@mail.ru</w:t>
            </w:r>
            <w:r w:rsidRPr="002361E2">
              <w:rPr>
                <w:i/>
              </w:rPr>
              <w:br/>
            </w:r>
            <w:r w:rsidR="00A96AEC">
              <w:t>Pénzügy és Számvitel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Gazdálkodási Kar Zalaegerszeg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Antal Anita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docens, PE ZEK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Társasozunk? TAO itthon és Oroszországban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Társasozunk?</w:t>
      </w:r>
      <w:r>
        <w:rPr>
          <w:color w:val="000000"/>
          <w:sz w:val="24"/>
          <w:szCs w:val="24"/>
        </w:rPr>
        <w:br/>
        <w:t xml:space="preserve">TAO itthon és Oroszországban</w:t>
      </w:r>
      <w:r>
        <w:rPr>
          <w:color w:val="000000"/>
          <w:sz w:val="24"/>
          <w:szCs w:val="24"/>
        </w:rPr>
        <w:br/>
        <w:t xml:space="preserve">Készítette: Lazariuc Iván</w:t>
      </w:r>
      <w:r>
        <w:rPr>
          <w:color w:val="000000"/>
          <w:sz w:val="24"/>
          <w:szCs w:val="24"/>
        </w:rPr>
        <w:br/>
        <w:t xml:space="preserve">Pénzügy és számvitel szak</w:t>
      </w:r>
      <w:r>
        <w:rPr>
          <w:color w:val="000000"/>
          <w:sz w:val="24"/>
          <w:szCs w:val="24"/>
        </w:rPr>
        <w:br/>
        <w:t xml:space="preserve">Pannon Egyetem Gazdálkodási Kar Zalaegerszeg, Pénzügy és Gazdálkodás Tanszék</w:t>
      </w:r>
      <w:r>
        <w:rPr>
          <w:color w:val="000000"/>
          <w:sz w:val="24"/>
          <w:szCs w:val="24"/>
        </w:rPr>
        <w:br/>
        <w:t xml:space="preserve">Témavezető: Dr. Antal Anita PhD</w:t>
      </w:r>
      <w:r>
        <w:rPr>
          <w:color w:val="000000"/>
          <w:sz w:val="24"/>
          <w:szCs w:val="24"/>
        </w:rPr>
        <w:br/>
        <w:t xml:space="preserve">2019 óta nagy figyelmet kapott világ szerte a nyereségadó. Az ezzel kapcsolatos kutatások aktualitását az adja, hogy 2019-ben az OECD elkezdett kidolgozni egy nyereség minimumadóról szóló szabályozást, amely 2021 októberében került elfogadásra a G20 által. Ennek alapján arra kell számítani, hogy 2023-tól a nyereségadó mértéke 15% lesz azon országokban, ahol az államfők aláírták a szerződést. Azokban az államokban, ahol a társaságok nyereségadója viszonylag alacsony, az a cél, hogy rábírják a multinacionális cégeket, befektetőket arra, hogy az adott országban fejlesszenek, hozzanak létre vállalkozásokat. Az új szabályozás következtében a társasági adó versenysemlegessé válik az érintett területeken. </w:t>
      </w:r>
      <w:r>
        <w:rPr>
          <w:color w:val="000000"/>
          <w:sz w:val="24"/>
          <w:szCs w:val="24"/>
        </w:rPr>
        <w:br/>
        <w:t xml:space="preserve">A kutatás célja a hazai és az oroszországi társasági nyereségadó szabályozás rendszertani vizsgálata a hasonlóságok és különbözőségek feltárása érdekében. Szintén cél a globális szabályozás vállalkozásokra való hatásának elemzése mindkét megjelölt országban.</w:t>
      </w:r>
      <w:r>
        <w:rPr>
          <w:color w:val="000000"/>
          <w:sz w:val="24"/>
          <w:szCs w:val="24"/>
        </w:rPr>
        <w:br/>
        <w:t xml:space="preserve">Az alábbi kutatási kérdésekre kívánok választ találni:</w:t>
      </w:r>
      <w:r>
        <w:rPr>
          <w:color w:val="000000"/>
          <w:sz w:val="24"/>
          <w:szCs w:val="24"/>
        </w:rPr>
        <w:br/>
        <w:t xml:space="preserve">1. Milyen struktúra alapján hasonlítható össze a két ország társasági adó szabályozása?</w:t>
      </w:r>
      <w:r>
        <w:rPr>
          <w:color w:val="000000"/>
          <w:sz w:val="24"/>
          <w:szCs w:val="24"/>
        </w:rPr>
        <w:br/>
        <w:t xml:space="preserve">2. Milyen főbb hasonlóságok emelhetők ki a két ország társasági adó szabályozásából?</w:t>
      </w:r>
      <w:r>
        <w:rPr>
          <w:color w:val="000000"/>
          <w:sz w:val="24"/>
          <w:szCs w:val="24"/>
        </w:rPr>
        <w:br/>
        <w:t xml:space="preserve">3. Milyen főbb különbözőségek mutatkoznak a két rendszerben?</w:t>
      </w:r>
      <w:r>
        <w:rPr>
          <w:color w:val="000000"/>
          <w:sz w:val="24"/>
          <w:szCs w:val="24"/>
        </w:rPr>
        <w:br/>
        <w:t xml:space="preserve">4. Milyen kvantitatív hatás becsülhető lokalizációs összehasonlításban és globális nyereségadó alkalmazásának bevezetésével a mintául választott vállalkozások nyereségadózásában?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módszertanilag egy értékelő és szintetizáló kutatás, mely egy összehasonlító elemzést tartalmaz, illetve magában foglal egy kvantitatív hatásvizsgálatot is. A kvantitatív adatok szekunder és primer adatforrásokból származnak. Az összehasonlító elemzés eredménye a két ország szabályozása közötti azonosságok és különbözőségek feltárása. A kvantitatív hatáselemzéssel pedig rámutatok arra, hogy melyik szabályozás szerint kedvezőbb az adózás, továbbá segítséget nyújthatok a vállalkozásoknak a társasági adózást érintő várható változásokra való felkészülésre, illetve munkám döntéstámogató eszközként funkcionálhat. Kutatásommal gazdagítani kívánom a téma kapcsán fellelhető, jelenleg hiányosnak értékelhető magyar nyelvű irodalmi kínálatot, miután nincs magyar nyelven elérhető szakirodalom a társasági adó oroszországi működéséről.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4049081">
    <w:multiLevelType w:val="hybridMultilevel"/>
    <w:lvl w:ilvl="0" w:tplc="817559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4049081">
    <w:abstractNumId w:val="7404908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2041183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