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IVAN LAZARIUC</w:t>
            </w:r>
          </w:p>
          <w:p w:rsidR="00C275A3" w:rsidRDefault="00186641" w:rsidP="00C275A3">
            <w:pPr>
              <w:pStyle w:val="Hallgatokepzes"/>
            </w:pPr>
            <w:r w:rsidRPr="002361E2">
              <w:rPr>
                <w:i/>
              </w:rPr>
              <w:t>ivanchik1997@mail.ru</w:t>
            </w:r>
            <w:r w:rsidRPr="002361E2">
              <w:rPr>
                <w:i/>
              </w:rPr>
              <w:br/>
            </w:r>
            <w:r w:rsidR="00A96AEC">
              <w:t>Finance and Accounting</w:t>
            </w:r>
            <w:r w:rsidR="00A96AEC">
              <w:br/>
            </w:r>
            <w:r w:rsidR="00E77B23">
              <w:t>BA, 6. semester</w:t>
            </w:r>
          </w:p>
          <w:p w:rsidR="00C265CE" w:rsidRPr="009E5FF1" w:rsidRDefault="00E77B23" w:rsidP="009763E0">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Anita Antal</w:t>
            </w:r>
          </w:p>
          <w:p w:rsidR="00DB4822" w:rsidRDefault="00DB4822" w:rsidP="009763E0">
            <w:pPr>
              <w:pStyle w:val="Konzulensektitulus"/>
            </w:pPr>
            <w:r w:rsidRPr="00DB4822">
              <w:t>College professor, PE ZEK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Shall we corporate? Corporate tax in Hungary and Russia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Shall we corporate?</w:t>
      </w:r>
      <w:r>
        <w:rPr>
          <w:color w:val="000000"/>
          <w:sz w:val="24"/>
          <w:szCs w:val="24"/>
        </w:rPr>
        <w:br/>
        <w:t xml:space="preserve">Corporate tax in Hungary and Russia</w:t>
      </w:r>
      <w:r>
        <w:rPr>
          <w:color w:val="000000"/>
          <w:sz w:val="24"/>
          <w:szCs w:val="24"/>
        </w:rPr>
        <w:br/>
        <w:t xml:space="preserve">Made by Lazariuc Iván</w:t>
      </w:r>
      <w:r>
        <w:rPr>
          <w:color w:val="000000"/>
          <w:sz w:val="24"/>
          <w:szCs w:val="24"/>
        </w:rPr>
        <w:br/>
        <w:t xml:space="preserve">Finance and Accounting Major</w:t>
      </w:r>
      <w:r>
        <w:rPr>
          <w:color w:val="000000"/>
          <w:sz w:val="24"/>
          <w:szCs w:val="24"/>
        </w:rPr>
        <w:br/>
        <w:t xml:space="preserve">University of Pannonia Faculty of Management, Zalaegerszeg</w:t>
      </w:r>
      <w:r>
        <w:rPr>
          <w:color w:val="000000"/>
          <w:sz w:val="24"/>
          <w:szCs w:val="24"/>
        </w:rPr>
        <w:br/>
        <w:t xml:space="preserve">Department of Finance and Management</w:t>
      </w:r>
      <w:r>
        <w:rPr>
          <w:color w:val="000000"/>
          <w:sz w:val="24"/>
          <w:szCs w:val="24"/>
        </w:rPr>
        <w:br/>
        <w:t xml:space="preserve">Supervisor: Dr. Antal Anita PhD</w:t>
      </w:r>
    </w:p>
    <w:p>
      <w:pPr>
        <w:widowControl w:val="on"/>
        <w:pBdr/>
        <w:spacing w:before="240" w:after="240" w:line="240" w:lineRule="auto"/>
        <w:ind w:left="0" w:right="0"/>
        <w:jc w:val="left"/>
      </w:pPr>
      <w:r>
        <w:rPr>
          <w:color w:val="000000"/>
          <w:sz w:val="24"/>
          <w:szCs w:val="24"/>
        </w:rPr>
        <w:t xml:space="preserve">Corporate tax gained a lot of attention globally since 2019, because the OECD started to work on new regulations regarding it. The G20 accepted these new regulations in 2021, which makes its topicality unquestionable. According to these the expected corporate tax rate will be 15 percent starting from 2023. This excludes countries where the regulations weren’t accepted (as of now 136 country joined). Many countries kept the corporate tax rate low in order to attract more international figures, however, because of the new regulations, they must change their methods.</w:t>
      </w:r>
      <w:r>
        <w:rPr>
          <w:color w:val="000000"/>
          <w:sz w:val="24"/>
          <w:szCs w:val="24"/>
        </w:rPr>
        <w:br/>
        <w:t xml:space="preserve">The goal of the research is to systematically asses the Hungarian and the Russian corporate tax regulations. Furthermore, the research aims to investigate the global regulations’ corporate effect in both of the targeted countries.</w:t>
      </w:r>
      <w:r>
        <w:rPr>
          <w:color w:val="000000"/>
          <w:sz w:val="24"/>
          <w:szCs w:val="24"/>
        </w:rPr>
        <w:br/>
        <w:t xml:space="preserve">I would like to find the answer to the research questions under below:</w:t>
      </w:r>
      <w:r>
        <w:rPr>
          <w:color w:val="000000"/>
          <w:sz w:val="24"/>
          <w:szCs w:val="24"/>
        </w:rPr>
        <w:br/>
        <w:t xml:space="preserve">1. Based on what structure could we compare the two countries’ corporate tax regulations?</w:t>
      </w:r>
      <w:r>
        <w:rPr>
          <w:color w:val="000000"/>
          <w:sz w:val="24"/>
          <w:szCs w:val="24"/>
        </w:rPr>
        <w:br/>
        <w:t xml:space="preserve">2. What are the main similarities between the two countries’ corporate tax regulations?</w:t>
      </w:r>
      <w:r>
        <w:rPr>
          <w:color w:val="000000"/>
          <w:sz w:val="24"/>
          <w:szCs w:val="24"/>
        </w:rPr>
        <w:br/>
        <w:t xml:space="preserve">3. What are the main differences between the two systems?</w:t>
      </w:r>
      <w:r>
        <w:rPr>
          <w:color w:val="000000"/>
          <w:sz w:val="24"/>
          <w:szCs w:val="24"/>
        </w:rPr>
        <w:br/>
        <w:t xml:space="preserve">4. What quantitative effect can be estimated in terms of regional comparison and in terms of income tax changes at the companies chosen as samples with the mentioned global regulations?</w:t>
      </w:r>
      <w:r>
        <w:rPr>
          <w:color w:val="000000"/>
          <w:sz w:val="24"/>
          <w:szCs w:val="24"/>
        </w:rPr>
        <w:br/>
        <w:t xml:space="preserve">Methodologically, my research is an evaluative and synthesizing research, which includes a comparative analysis, and a quantitative impact assessment. The quantitative data are from secondary and primary data sources. The primary data collection concentrated on a chosen accounting office’s clients. The processing of the professional literature consisted a regular literature research, supplemented by database and online research options.</w:t>
      </w:r>
      <w:r>
        <w:rPr>
          <w:color w:val="000000"/>
          <w:sz w:val="24"/>
          <w:szCs w:val="24"/>
        </w:rPr>
        <w:br/>
        <w:t xml:space="preserve">The regional comparison analysis revealed the two countries’ similarities and differences in terms of corporate tax regulations. The quantitative impact assessment showed us which regulation give more favourable results in taxation. The results can help in corporate preparation regarding the upcoming corporate tax changes. My overall goal with this research was to further enrich the insufficient Hungarian literature database, because as of now there are no professional literature regarding Russian corporate tax regulations.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74444">
    <w:multiLevelType w:val="hybridMultilevel"/>
    <w:lvl w:ilvl="0" w:tplc="34426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74444">
    <w:abstractNumId w:val="54074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16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