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SZABOLCS SÁNDOR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kocsis1589@gmail.com</w:t>
            </w:r>
            <w:r w:rsidRPr="002361E2">
              <w:rPr>
                <w:i/>
              </w:rPr>
              <w:br/>
            </w:r>
            <w:r w:rsidR="00A96AEC">
              <w:t>Testnevelés - Angol tanári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Oláh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szakmai vezető,  Magyar Labdarúgó Szövetség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Urbinné dr. Borbély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Utánkövetéses karriervizsgálat a Bozsik József Labdarúgó Akadémián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központi témája az utánpótlásban nevelkedő labdarúgók utánkövetéses vizsgálata. A kutatásom célja az volt, hogy összetett képet kapjak célcsoportomról, egy kelet-magyarországi labdarúgó akadémia játékosairól, akadémia utáni életútjukról. Kutatási módszerem a kérdőívezés volt, amely során egy saját szerkesztésű online kérdőívet használtunk, melynek alapját a DC4AC programban elkészült kérdőív adta (Farkas és mtsai., 2017). A felmérést a már korosztályos csapatokból kiöregedett játékosokkal végeztem el, az 1988-tól a 2000-es korosztályokig. Így összesen a 13 korosztályból 251 főt sikerült elérnem. Az esettanulmány fókuszában legfőképp a profi szerződés megszerzésének aránya, a saját karrier elégedettségnek a vizsgálata, és a tanulás és sport kapcsolata állt, de a magánéletben elért sikerekre is válaszokat kaptam. A kutatásom során kiderült, hogy a helyi akadémia a magyarországi akadémiáktól arányában több játékosnak ad profi szerződést, viszont nagyon kevés játékos az, aki a jelenlegi felnőtt profi keretben helyet kap és szerepel is a mérkőzéseken. A mintánk 28,9%-a kapott valaha profi szerződést, 21,4%-nak sikerült bemutatkozni a nevelő egyesületük felnőtt csapatában, viszont kevesebb, mint 18,7% tudott három szezonnál többet játszani a magyar első vagy másodosztály valamelyikében. Ezen állítás is igazolja, hogy a profi szerződés megléte nem feltételezi azt, hogy rendszeres játéklehetőség legyen számára biztosítva, így a fiatal felnőtt labdarúgó hamar lekerülhet az elit felnőtt bajnokságokból az amatőr ligákba, ahol a megélhetés nem biztosított. Ezért nagyon fontos, hogy a sportkarrier építése mellett a továbbtanulásra nagy hangsúlyt fektessenek a játékosok.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89901">
    <w:multiLevelType w:val="hybridMultilevel"/>
    <w:lvl w:ilvl="0" w:tplc="98403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89901">
    <w:abstractNumId w:val="77889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604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