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ATTILA MAXIMILIÁN TÓTH</w:t>
            </w:r>
          </w:p>
          <w:p w:rsidR="00C275A3" w:rsidRDefault="00186641" w:rsidP="00C275A3">
            <w:pPr>
              <w:pStyle w:val="Hallgatokepzes"/>
            </w:pPr>
            <w:r w:rsidRPr="002361E2">
              <w:rPr>
                <w:i/>
              </w:rPr>
              <w:t>kisatis1@gmail.com</w:t>
            </w:r>
            <w:r w:rsidRPr="002361E2">
              <w:rPr>
                <w:i/>
              </w:rPr>
              <w:br/>
            </w:r>
            <w:r w:rsidR="00A96AEC">
              <w:t>Financial-accounting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Krisztina A. Sisa PhD</w:t>
            </w:r>
          </w:p>
          <w:p w:rsidR="00DB4822" w:rsidRDefault="00DB4822" w:rsidP="009763E0">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INTERPRETATIONS OF VAT FRAUD AND THEIR POSSIBLE SOLUTIONS BASED ON DOMESTIC AND INTERNATIONAL PERSPECTIVES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the misuse of general sales taxes and VAT fraud. I am looking for an answer to how VAT abuse is possible, and is there a solution to this problem?</w:t>
      </w:r>
      <w:r>
        <w:rPr>
          <w:color w:val="000000"/>
          <w:sz w:val="24"/>
          <w:szCs w:val="24"/>
        </w:rPr>
        <w:br/>
        <w:t xml:space="preserve">The research background is provided by primary and secondary research. I am trying to present the mechanism and types of VAT fraud by processing specialized literature and analyzing final court judgments. I will also discuss the potential implications of VAT fraud, as it affects other areas as well, such as the determination of corporate tax or redistribution processes.</w:t>
      </w:r>
      <w:r>
        <w:rPr>
          <w:color w:val="000000"/>
          <w:sz w:val="24"/>
          <w:szCs w:val="24"/>
        </w:rPr>
        <w:br/>
        <w:t xml:space="preserve">This topic therefore affects our everyday life, as the payment of VAT is required of all consumers. Even today, VAT fraud is a big problem, and the National Tax and Customs Administration is constantly fighting this phenomenon with more or less success. Abuses of this kind can cause enormous damage to the state budget, which is why it is important to curb them.</w:t>
      </w:r>
      <w:r>
        <w:rPr>
          <w:color w:val="000000"/>
          <w:sz w:val="24"/>
          <w:szCs w:val="24"/>
        </w:rPr>
        <w:br/>
        <w:t xml:space="preserve">In the end, I illustrate possible solutions to VAT fraud through domestic and international examples. There are VAT settlement methods that can be used to exploit possible abuses. I would like to illustrate this through an international example, as well as present the disadvantages and possible obstacles of this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06099">
    <w:multiLevelType w:val="hybridMultilevel"/>
    <w:lvl w:ilvl="0" w:tplc="19749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06099">
    <w:abstractNumId w:val="20106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06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