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GYONGYVER KAMENAR</w:t>
            </w:r>
          </w:p>
          <w:p w:rsidR="00C275A3" w:rsidRDefault="00186641" w:rsidP="00C275A3">
            <w:pPr>
              <w:pStyle w:val="Hallgatokepzes"/>
            </w:pPr>
            <w:r w:rsidRPr="002361E2">
              <w:rPr>
                <w:i/>
              </w:rPr>
              <w:t>gyongyver.kam@gmail.com</w:t>
            </w:r>
            <w:r w:rsidRPr="002361E2">
              <w:rPr>
                <w:i/>
              </w:rPr>
              <w:br/>
            </w:r>
            <w:r w:rsidR="00A96AEC">
              <w:t>Applied Economics</w:t>
            </w:r>
            <w:r w:rsidR="00A96AEC">
              <w:br/>
            </w:r>
            <w:r w:rsidR="00E77B23">
              <w:t>BA, 6. semester</w:t>
            </w:r>
          </w:p>
          <w:p w:rsidR="00C265CE" w:rsidRPr="009E5FF1" w:rsidRDefault="00E77B23" w:rsidP="009763E0">
            <w:pPr>
              <w:pStyle w:val="Hallgatointezmeny-kar"/>
              <w:rPr>
                <w:b/>
                <w:caps/>
              </w:rPr>
            </w:pPr>
            <w:r>
              <w:t>Eötvös Loránd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Arpad Stump</w:t>
            </w:r>
          </w:p>
          <w:p w:rsidR="00DB4822" w:rsidRDefault="00DB4822" w:rsidP="009763E0">
            <w:pPr>
              <w:pStyle w:val="Konzulensektitulus"/>
            </w:pPr>
            <w:r w:rsidRPr="00DB4822">
              <w:t>Referent, BCE KT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Stock market prediction using Twitter sentiment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investigates the relationship between stock market return and Twitter sentiment in 2019. The hypotheses are that daily stock returns and Twitter sentiments are correlated, and there is significant Granger-causality between them. Besides, we suppose that the good events generate a positive cumulated abnormal return over the event window, while the bad events generate negative.</w:t>
      </w:r>
      <w:r>
        <w:rPr>
          <w:color w:val="000000"/>
          <w:sz w:val="24"/>
          <w:szCs w:val="24"/>
        </w:rPr>
        <w:br/>
        <w:t xml:space="preserve">The analyzed stocks are the top 5 companies of the Nasdaq 100 index, namely Amazon, Apple, Facebook, Microsoft, and Tesla. Twitter posts containing the stock symbols are collected and classified to positive, neutral, or negative based on their content, then the daily sentiment values are calculated as the relative difference of positive and negative tweets on the given day.</w:t>
      </w:r>
      <w:r>
        <w:rPr>
          <w:color w:val="000000"/>
          <w:sz w:val="24"/>
          <w:szCs w:val="24"/>
        </w:rPr>
        <w:br/>
        <w:t xml:space="preserve">The study observed the correlation between daily returns and Twitter sentiment value and found significant positive coefficients. Then we used ADF-test to confirm stationarity and built vector autoregressive models to test Granger-causality on the two stationary time series in the case of each company. At 10% significance level we found two relationships. Firstly, Microsoft stock return Granger-causes its Twitter sentiment, and secondly, the Twitter sentiment of Tesla Granger-causes Tesla return. However, we did not find any significant relationship at the 5% level.</w:t>
      </w:r>
      <w:r>
        <w:rPr>
          <w:color w:val="000000"/>
          <w:sz w:val="24"/>
          <w:szCs w:val="24"/>
        </w:rPr>
        <w:br/>
        <w:t xml:space="preserve">Based on Twitter activity we detected 42 events and categorized them as good, bad, or neutral based on their sentiment value on the given day. The results show, that on average good events generate positive cumulated abnormal return while bad events negative.</w:t>
      </w:r>
      <w:r>
        <w:rPr>
          <w:color w:val="000000"/>
          <w:sz w:val="24"/>
          <w:szCs w:val="24"/>
        </w:rPr>
        <w:br/>
        <w:t xml:space="preserve">The paper is an interesting review for technical stock market analysts and investors. The study serves as a baseline for sentiment-based investing strategy in the future, however, the results are not convincing yet enough to support financial decisions.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76556">
    <w:multiLevelType w:val="hybridMultilevel"/>
    <w:lvl w:ilvl="0" w:tplc="99989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76556">
    <w:abstractNumId w:val="834765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822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