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LÁSZLÓ RAJKA</w:t>
            </w:r>
          </w:p>
          <w:p w:rsidR="00C275A3" w:rsidRDefault="00186641" w:rsidP="00C275A3">
            <w:pPr>
              <w:pStyle w:val="Hallgatokepzes"/>
            </w:pPr>
            <w:r w:rsidRPr="002361E2">
              <w:rPr>
                <w:i/>
              </w:rPr>
              <w:t>laszlo.rajka@gmail.com</w:t>
            </w:r>
            <w:r w:rsidRPr="002361E2">
              <w:rPr>
                <w:i/>
              </w:rPr>
              <w:br/>
            </w:r>
            <w:r w:rsidR="00A96AEC">
              <w:t>Finance and Accounting</w:t>
            </w:r>
            <w:r w:rsidR="00A96AEC">
              <w:br/>
            </w:r>
            <w:r w:rsidR="00E77B23">
              <w:t>BSc, 6.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Badics Milán Csaba</w:t>
            </w:r>
          </w:p>
          <w:p w:rsidR="00DB4822" w:rsidRDefault="00DB4822" w:rsidP="009763E0">
            <w:pPr>
              <w:pStyle w:val="Konzulensektitulus"/>
            </w:pPr>
            <w:r w:rsidRPr="00DB4822">
              <w:t>Assistant Lecturer, BCE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operational risk models based on extreme values and scenario analysis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br/>
        <w:t xml:space="preserve">The paper examines the topic of operational risk with a particular emphasis on the AMA approach. The article firstly seeks to answer to the question of how the estimation used in the AMA model is affected by the occurrance of extreme values and the use of scenarios. In addition to the question addressed, aspects of the regulatory environment and the methodologies of practical calculations and models used in industry are summarised. It is concluded that the inclusion of extreme values within each loss category can increase capital requirements by up to 70%. The study also examines the issue of low values exceeding the threshold for inclusion. These values can cause a 90% swing in the capital requirement for a given category. The impact of the scenarios is also found to be significant in the methodological analysis, with a particular role for which part of the distribution curve the scenario expands during the simulation. In addition to the above, the paper also discusses the effect of group mergers.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764083">
    <w:multiLevelType w:val="hybridMultilevel"/>
    <w:lvl w:ilvl="0" w:tplc="338640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764083">
    <w:abstractNumId w:val="2876408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77373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