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BENCE BÁNKI</w:t>
            </w:r>
          </w:p>
          <w:p w:rsidR="00C275A3" w:rsidRDefault="00186641" w:rsidP="00C275A3">
            <w:pPr>
              <w:pStyle w:val="Hallgatokepzes"/>
            </w:pPr>
            <w:r w:rsidRPr="002361E2">
              <w:rPr>
                <w:i/>
              </w:rPr>
              <w:t>bence.banki@stud.uni-corvinus.hu</w:t>
            </w:r>
            <w:r w:rsidRPr="002361E2">
              <w:rPr>
                <w:i/>
              </w:rPr>
              <w:br/>
            </w:r>
            <w:r w:rsidR="00A96AEC">
              <w:t>Applied Economics</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István Kollai</w:t>
            </w:r>
          </w:p>
          <w:p w:rsidR="00DB4822" w:rsidRDefault="00DB4822" w:rsidP="009763E0">
            <w:pPr>
              <w:pStyle w:val="Konzulensektitulus"/>
            </w:pPr>
            <w:r w:rsidRPr="00DB4822">
              <w:t>senior lecturer,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Southern Slovakia: a Neglected Region? The Economic Performance of Slovak Territories Inhabited by Hungarians in a Political Context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investigates the trends in the economic development of Southern Slovakia  — home to a sizeable Hungarian population — in a political context. It is demonstrated that areas inhabited by ethnic Hungarians lag behind the rest of the country, as they suffer from higher rates of unemployment and lack high-quality road infrastructure. Furthermore, the paper argues that the trajectories of regional economic indicators are greatly influenced by changes in government composition and political party strength. Empirical data show that Hungarian minority parties, which enjoy a dominant position in Southern Slovakia, actively represent the region’s interests when they become part of the government. Preferential treatment for the area is found to be most notable in road network development and distributive politics, with Hungarian incumbent directing considerable funds to southern territories. Similarly, positive tendencies are observed in the level of unemployment and regional GDP figures, albeit to a lesser extent and often with no discernible connection to electoral cycles. These findings complement the literature on the determinants of regional economic disparities in Slovakia, and offer a deeper insight into how ethnic parties can faciliate development in their strongholds.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91868">
    <w:multiLevelType w:val="hybridMultilevel"/>
    <w:lvl w:ilvl="0" w:tplc="55020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91868">
    <w:abstractNumId w:val="204918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90513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