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DOMONKOS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kiss.domonkos.1996@gmail.com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Antal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termelés ésfogyasztás alapú CO2-kibocsátáselszámolási rendszerekösszehasonlítása az Európai Unió példájánkeresztül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termelés és fogyasztás alapú szén-dioxid-kibocsátás elszámolási</w:t>
      </w:r>
      <w:r>
        <w:rPr>
          <w:color w:val="000000"/>
          <w:sz w:val="24"/>
          <w:szCs w:val="24"/>
        </w:rPr>
        <w:br/>
        <w:t xml:space="preserve">rendszerek összehasonlítása az Európai Unió országain keresztül. A kutatás fő céljai, hogy</w:t>
      </w:r>
      <w:r>
        <w:rPr>
          <w:color w:val="000000"/>
          <w:sz w:val="24"/>
          <w:szCs w:val="24"/>
        </w:rPr>
        <w:br/>
        <w:t xml:space="preserve">bemutassa a két mutatóból fakadó különbségeket gyakorlati példákon keresztül, valamint, hogy</w:t>
      </w:r>
      <w:r>
        <w:rPr>
          <w:color w:val="000000"/>
          <w:sz w:val="24"/>
          <w:szCs w:val="24"/>
        </w:rPr>
        <w:br/>
        <w:t xml:space="preserve">átfogóbb képet adjon az Európai Unió elmúlt évtizedeiben végbe ment CO2-kibocsátási</w:t>
      </w:r>
      <w:r>
        <w:rPr>
          <w:color w:val="000000"/>
          <w:sz w:val="24"/>
          <w:szCs w:val="24"/>
        </w:rPr>
        <w:br/>
        <w:t xml:space="preserve">tendenciáiról. A dolgozat kutatási kérdése, hogy milyen gyakorlati különbségek származnak a</w:t>
      </w:r>
      <w:r>
        <w:rPr>
          <w:color w:val="000000"/>
          <w:sz w:val="24"/>
          <w:szCs w:val="24"/>
        </w:rPr>
        <w:br/>
        <w:t xml:space="preserve">termelési és a fogyasztás alapú CO2-emisszió elszámolási rendszerek használatából. A kutatás</w:t>
      </w:r>
      <w:r>
        <w:rPr>
          <w:color w:val="000000"/>
          <w:sz w:val="24"/>
          <w:szCs w:val="24"/>
        </w:rPr>
        <w:br/>
        <w:t xml:space="preserve">időintervalluma 2005 és 2015 közé esik. Első számú hipotézise, hogy a termelésen alapú CO2-</w:t>
      </w:r>
      <w:r>
        <w:rPr>
          <w:color w:val="000000"/>
          <w:sz w:val="24"/>
          <w:szCs w:val="24"/>
        </w:rPr>
        <w:br/>
        <w:t xml:space="preserve">kibocsátást előtérbe helyező nemzetközi statisztikák erősen megtévesztő képet adnak az</w:t>
      </w:r>
      <w:r>
        <w:rPr>
          <w:color w:val="000000"/>
          <w:sz w:val="24"/>
          <w:szCs w:val="24"/>
        </w:rPr>
        <w:br/>
        <w:t xml:space="preserve">Európai Unió országainak valós CO2-kibocsátási folyamatairól. Második számú hipotézise</w:t>
      </w:r>
      <w:r>
        <w:rPr>
          <w:color w:val="000000"/>
          <w:sz w:val="24"/>
          <w:szCs w:val="24"/>
        </w:rPr>
        <w:br/>
        <w:t xml:space="preserve">pedig, hogy a gazdasági fejlettség és a fogyasztás alapú szén-dioxid-kibocsátás között nagyobb</w:t>
      </w:r>
      <w:r>
        <w:rPr>
          <w:color w:val="000000"/>
          <w:sz w:val="24"/>
          <w:szCs w:val="24"/>
        </w:rPr>
        <w:br/>
        <w:t xml:space="preserve">összefüggés található, mint a termelés alapú kibocsátás és gazdasági fejlettség között. Előbbi</w:t>
      </w:r>
      <w:r>
        <w:rPr>
          <w:color w:val="000000"/>
          <w:sz w:val="24"/>
          <w:szCs w:val="24"/>
        </w:rPr>
        <w:br/>
        <w:t xml:space="preserve">állításra egyszerű összehasonlító adatelemzéssel keresi a választ, utóbbira pedig regressziós</w:t>
      </w:r>
      <w:r>
        <w:rPr>
          <w:color w:val="000000"/>
          <w:sz w:val="24"/>
          <w:szCs w:val="24"/>
        </w:rPr>
        <w:br/>
        <w:t xml:space="preserve">modellel. A kutatás eredményei az első számú hipotézist megdöntötték, mivel az adatelemzés</w:t>
      </w:r>
      <w:r>
        <w:rPr>
          <w:color w:val="000000"/>
          <w:sz w:val="24"/>
          <w:szCs w:val="24"/>
        </w:rPr>
        <w:br/>
        <w:t xml:space="preserve">során egyértelműen kirajzolódott, hogy a fogyasztás és termelés alapú kibocsátási statisztikák</w:t>
      </w:r>
      <w:r>
        <w:rPr>
          <w:color w:val="000000"/>
          <w:sz w:val="24"/>
          <w:szCs w:val="24"/>
        </w:rPr>
        <w:br/>
        <w:t xml:space="preserve">nagyon hasonló tendenciákat és folyamatokat írnak le. A másik hipotézis viszont megerősítésre</w:t>
      </w:r>
      <w:r>
        <w:rPr>
          <w:color w:val="000000"/>
          <w:sz w:val="24"/>
          <w:szCs w:val="24"/>
        </w:rPr>
        <w:br/>
        <w:t xml:space="preserve">került, mivel a regressziós modell jóval erősebb lineáris összefüggést talált a gazdasági</w:t>
      </w:r>
      <w:r>
        <w:rPr>
          <w:color w:val="000000"/>
          <w:sz w:val="24"/>
          <w:szCs w:val="24"/>
        </w:rPr>
        <w:br/>
        <w:t xml:space="preserve">fejlettség és a fogyasztás alapú kibocsátás között, mint a gazdasági fejlettség és termelés alapú</w:t>
      </w:r>
      <w:r>
        <w:rPr>
          <w:color w:val="000000"/>
          <w:sz w:val="24"/>
          <w:szCs w:val="24"/>
        </w:rPr>
        <w:br/>
        <w:t xml:space="preserve">mutató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93216">
    <w:multiLevelType w:val="hybridMultilevel"/>
    <w:lvl w:ilvl="0" w:tplc="62536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93216">
    <w:abstractNumId w:val="660932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813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