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VIKTÓRIA DEÁK</w:t>
            </w:r>
          </w:p>
          <w:p w:rsidR="00C275A3" w:rsidRDefault="00186641" w:rsidP="00C275A3">
            <w:pPr>
              <w:pStyle w:val="Hallgatokepzes"/>
            </w:pPr>
            <w:r w:rsidRPr="002361E2">
              <w:rPr>
                <w:i/>
              </w:rPr>
              <w:t>d.viktoriaaa@gmail.com</w:t>
            </w:r>
            <w:r w:rsidRPr="002361E2">
              <w:rPr>
                <w:i/>
              </w:rPr>
              <w:br/>
            </w:r>
            <w:r w:rsidR="00A96AEC">
              <w:t>Regional and Environmental Economic Studies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Anna Széchy</w:t>
            </w:r>
          </w:p>
          <w:p w:rsidR="00DB4822" w:rsidRDefault="00DB4822" w:rsidP="009763E0">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green home lending: Challenges and Opportunities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climate change and its negative effects are receiving more attention at the social, political, and economic levels. Many specialized literatures have confirmed that the achievement of environmental and climate goals can hardly be imagined without the financing activities of the financial market participants. Climate risks are threatening the financial sector and the increasing social pressure makes the financial sector even more interested in developing financing solutions that help create climate investments. In my study, I examined green housing loans, the purpose of which is - among other things - the energy modernization of residential building stock. At the European Union and national level, the housing stock can be considered energetically inefficient. However, significant emissions could be prevented by enhancing the use of renewable energy and improving the energy efficiency of residential houses. Recent years have shown a clear increase in loans for green purposes, but their share is still low in the global loan stock, especially in Hungary, where such financial products are not yet present. During the research, I looked for the answer to what conditions are required for domestic banks to offer loans that promote environmental goals and can be used for residential building stock. To continue my research, I used a qualitative research method by making semi-structured interviews among domestic credit institutions to assess the motivational and challenging factors behind the introduction of green mortgage loans. Putting my work in a deeper light, I examined with the help of a focus group interview how the Hungarian population thinks about mainly energy efficiency investments related to residential real estate and their financing through green loans. During the investigation, it was revealed that Hungary is in a special situation as the government is trying to achieve another important goal, which means representing competition for green mortgage loans. Handling the current economic situation caused by the coronavirus epidemic since 2020 also makes it difficult for domestic commercial banks to take action. According to the credit institutions, the green housing loan is currently not profitable in the short term, but they see a business opportunity in it. For the time being, they are waiting for the market to clear so that they can start the necessary product development steps at the right moment with the help of authority incentives.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67641">
    <w:multiLevelType w:val="hybridMultilevel"/>
    <w:lvl w:ilvl="0" w:tplc="52740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67641">
    <w:abstractNumId w:val="86067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010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