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ADÉL KELEMEN</w:t>
            </w:r>
          </w:p>
          <w:p w:rsidR="00C275A3" w:rsidRDefault="00186641" w:rsidP="00C275A3">
            <w:pPr>
              <w:pStyle w:val="Hallgatokepzes"/>
            </w:pPr>
            <w:r w:rsidRPr="002361E2">
              <w:rPr>
                <w:i/>
              </w:rPr>
              <w:t>adel.kelemen11@gmail.com</w:t>
            </w:r>
            <w:r w:rsidRPr="002361E2">
              <w:rPr>
                <w:i/>
              </w:rPr>
              <w:br/>
            </w:r>
            <w:r w:rsidR="00A96AEC">
              <w:t>Business Administration and Management</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Sándor Bozóki</w:t>
            </w:r>
          </w:p>
          <w:p w:rsidR="00DB4822" w:rsidRDefault="00DB4822" w:rsidP="009763E0">
            <w:pPr>
              <w:pStyle w:val="Konzulensektitulus"/>
            </w:pPr>
            <w:r w:rsidRPr="00DB4822">
              <w:t>Associate professor,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assessment methods through environmental aspects of sustainable development indicators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 the measure of welfare economic indices are mostly used. However, in addition to economic factors, environmental and social aspects are also playing an increasingly important role, so in recent years, many alternative development indices have been created to measure the welfareof countries. There are significant differences in the methodological background of the sustainability indices. The most obvious difference is that different indicators are included in the study according to which aspect of sustainability it focuses on. Therefore, the output of country rankins differ in the indicators, but other differences can also be discovered when studying the methodological background. The evaluation functions of the indices also often differ, for example, in the case of some factors, the scores are given between the range of the best and worst performing countries, while theoretical limits are given for other factors. Thus, it may happen that no country achieves the maximum or minimum score.</w:t>
      </w:r>
    </w:p>
    <w:p>
      <w:pPr>
        <w:widowControl w:val="on"/>
        <w:pBdr/>
        <w:spacing w:before="240" w:after="240" w:line="240" w:lineRule="auto"/>
        <w:ind w:left="0" w:right="0"/>
        <w:jc w:val="left"/>
      </w:pPr>
      <w:r>
        <w:rPr>
          <w:color w:val="000000"/>
          <w:sz w:val="24"/>
          <w:szCs w:val="24"/>
        </w:rPr>
        <w:t xml:space="preserve">In my research, I examined how much influence the evaluation function and weight of a performance indicator have on the results of a sustainability index. My hypothesis is that modifying the weight of an aspect can be compensated by modifying the evaluation function and vice versa. During my investigation, I found that in the literature evaluation functions are not given as much emphasis as the criteria weights. The aim of this essay was to highlight the importance of the former.</w:t>
      </w:r>
    </w:p>
    <w:p>
      <w:pPr>
        <w:widowControl w:val="on"/>
        <w:pBdr/>
        <w:spacing w:before="240" w:after="240" w:line="240" w:lineRule="auto"/>
        <w:ind w:left="0" w:right="0"/>
        <w:jc w:val="left"/>
      </w:pPr>
      <w:r>
        <w:rPr>
          <w:color w:val="000000"/>
          <w:sz w:val="24"/>
          <w:szCs w:val="24"/>
        </w:rPr>
        <w:t xml:space="preserve">Through partial reproduction of the Environmental Performance Index, I empirically demonstrate that the original score can be obtained by using different weightings and evaluation functions. Thus, the two parameters play an equally important role in the indices. During the calculation, I also examine the single effect of the evaluation functions on the ranking, which causes a significant change in the order of the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34283">
    <w:multiLevelType w:val="hybridMultilevel"/>
    <w:lvl w:ilvl="0" w:tplc="42678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34283">
    <w:abstractNumId w:val="789342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71175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