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BENJÁMIN FORGÁCS</w:t>
            </w:r>
          </w:p>
          <w:p w:rsidR="00C275A3" w:rsidRDefault="00186641" w:rsidP="00C275A3">
            <w:pPr>
              <w:pStyle w:val="Hallgatokepzes"/>
            </w:pPr>
            <w:r w:rsidRPr="002361E2">
              <w:rPr>
                <w:i/>
              </w:rPr>
              <w:t>forgacsb@outlook.hu</w:t>
            </w:r>
            <w:r w:rsidRPr="002361E2">
              <w:rPr>
                <w:i/>
              </w:rPr>
              <w:br/>
            </w:r>
            <w:r w:rsidR="00A96AEC">
              <w:t>Business Informatics</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Peter Bago </w:t>
            </w:r>
          </w:p>
          <w:p w:rsidR="00DB4822" w:rsidRDefault="00DB4822" w:rsidP="009763E0">
            <w:pPr>
              <w:pStyle w:val="Konzulensektitulus"/>
            </w:pPr>
            <w:r w:rsidRPr="00DB4822">
              <w:t>senior lecturer, BCE II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INTEGRATION OF THE INSTANT PAYMENT SYSTEM INTO THE PAYMENT INFRASTRUCTURE OF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March 2020, the instant payment system was launched in Hungary, allowing all domestic bank customers to carry out a payment transaction within 5 seconds, initiated via electronic channels, up to a limit of 10 M HUF per transaction. The system will significantly improve the payment experience for credit transfers, providing a competitive option to the cash or the already widespread credit card payment options. The unique feature of its introduction is that the mandatory use of the system is imposed on institutions by a regulation of the Magyar Nemzeti Bank (MNB).</w:t>
      </w:r>
    </w:p>
    <w:p>
      <w:pPr>
        <w:widowControl w:val="on"/>
        <w:pBdr/>
        <w:spacing w:before="240" w:after="240" w:line="240" w:lineRule="auto"/>
        <w:ind w:left="0" w:right="0"/>
        <w:jc w:val="left"/>
      </w:pPr>
      <w:r>
        <w:rPr>
          <w:color w:val="000000"/>
          <w:sz w:val="24"/>
          <w:szCs w:val="24"/>
        </w:rPr>
        <w:t xml:space="preserve">The introduction of instant payments has increased the demand for higher computing and transaction processing capacity from banks' IT systems due to the processing speed of transfer transactions required by the regulation. Previously, the settlement methods provided by the interbank clearing system (BKR) did not require such performance and availability.</w:t>
      </w:r>
    </w:p>
    <w:p>
      <w:pPr>
        <w:widowControl w:val="on"/>
        <w:pBdr/>
        <w:spacing w:before="240" w:after="240" w:line="240" w:lineRule="auto"/>
        <w:ind w:left="0" w:right="0"/>
        <w:jc w:val="left"/>
      </w:pPr>
      <w:r>
        <w:rPr>
          <w:color w:val="000000"/>
          <w:sz w:val="24"/>
          <w:szCs w:val="24"/>
        </w:rPr>
        <w:t xml:space="preserve">The aim of my thesis was to investigate how domestic system participants in the new system have implemented the service to enable instant payments. As a contributor to the implementation and operation of the system, I personally experienced that the banks faced significant challenges in implementing instant payments, and based on this realization, I decided to map the IT developments in domestic banking.</w:t>
      </w:r>
    </w:p>
    <w:p>
      <w:pPr>
        <w:widowControl w:val="on"/>
        <w:pBdr/>
        <w:spacing w:before="240" w:after="240" w:line="240" w:lineRule="auto"/>
        <w:ind w:left="0" w:right="0"/>
        <w:jc w:val="left"/>
      </w:pPr>
      <w:r>
        <w:rPr>
          <w:color w:val="000000"/>
          <w:sz w:val="24"/>
          <w:szCs w:val="24"/>
        </w:rPr>
        <w:t xml:space="preserve">In addition to the available literature, I researched the topic by conducting professional interviews with the stakeholders involved in the implementation of the system, the MNB, the central clearing house GIRO Zrt. and experts from domestic banks. Thus, an interview was conducted with Lóránt Varga, Head of the MNB's Department for Cash Flow and Financial Infrastructures.</w:t>
      </w:r>
    </w:p>
    <w:p>
      <w:pPr>
        <w:widowControl w:val="on"/>
        <w:pBdr/>
        <w:spacing w:before="240" w:after="240" w:line="240" w:lineRule="auto"/>
        <w:ind w:left="0" w:right="0"/>
        <w:jc w:val="left"/>
      </w:pPr>
      <w:r>
        <w:rPr>
          <w:color w:val="000000"/>
          <w:sz w:val="24"/>
          <w:szCs w:val="24"/>
        </w:rPr>
        <w:t xml:space="preserve">My research confirmed that all Hungarian banks have implemented IT-based pre-systems to comply with the law, as the current, outdated bank account management systems are not capable of processing transactions at a speed that ensures that the legal requirements for instant transfers are met. In addition, my preliminary assumption that there were domestic operators who replaced their central account management systems in order to comply with the operational conditions for instant payment systems in the Magyar Nemzeti Bank's regulation was successfully disproved by my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89861">
    <w:multiLevelType w:val="hybridMultilevel"/>
    <w:lvl w:ilvl="0" w:tplc="71048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89861">
    <w:abstractNumId w:val="38889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2262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