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TAMÁS LÁSZLÓ ZSOMBOK</w:t>
            </w:r>
          </w:p>
          <w:p w:rsidR="00C275A3" w:rsidRDefault="00186641" w:rsidP="00C275A3">
            <w:pPr>
              <w:pStyle w:val="Hallgatokepzes"/>
            </w:pPr>
            <w:r w:rsidRPr="002361E2">
              <w:rPr>
                <w:i/>
              </w:rPr>
              <w:t>zsotam@gmail.com</w:t>
            </w:r>
            <w:r w:rsidRPr="002361E2">
              <w:rPr>
                <w:i/>
              </w:rPr>
              <w:br/>
            </w:r>
            <w:r w:rsidR="00A96AEC">
              <w:t>Business Informatics Engineer</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Ágnes Urbán</w:t>
            </w:r>
          </w:p>
          <w:p w:rsidR="00DB4822" w:rsidRDefault="00DB4822" w:rsidP="009763E0">
            <w:pPr>
              <w:pStyle w:val="Konzulensektitulus"/>
            </w:pPr>
            <w:r w:rsidRPr="00DB4822">
              <w:t>Associate professor, BCE II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News media companies' innovation methods through the lens of dynamic capabilities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examine how four Hungarian news media companies develop dynamic capabilities to meet their market and strategic needs. The four media companies chosen are Central Médiacsoport Zrt., HVG Kiadó Zrt., Magyar Jeti Zrt. and Van Másik Kft. The study explores the innovation and innovation activities of these companies in their news portals using the theory of dynamic capabilities. After examining the issue using qualitative methods, the paper concludes that the companies' perception and learning capabilities are high and are supported by the individual proactivity of employees and informal information sharing processes. The ability of firms to integrate tends to develop organically rather than as a result of a fully conscious process. The new operational information and innovations to be implemented are mostly adapted to existing managerial, market and technological functions; change is most likely when the innovation is of a completely new, disruptive nature. Activities for this capability include responding to market change at a medium speed, motivating employees in a way that is integral to the new way of operating. In terms of innovation capacity, the companies surveyed have a high propensity to innovate and are equally good at identifying opportunities and exploiting innovations, whether through experimentation or trial and error.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88086">
    <w:multiLevelType w:val="hybridMultilevel"/>
    <w:lvl w:ilvl="0" w:tplc="45367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88086">
    <w:abstractNumId w:val="66288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30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