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BÁTKI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batki.benedek@gmail.com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részvénypiac és a makrogazdasági mutatók dinamikájának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részvénypiac és a fontosabb makrogazdasági mutatók közötti</w:t>
      </w:r>
      <w:r>
        <w:rPr>
          <w:color w:val="000000"/>
          <w:sz w:val="24"/>
          <w:szCs w:val="24"/>
        </w:rPr>
        <w:br/>
        <w:t xml:space="preserve">kauzális kapcsolatokat elemzem ki, ügyelve a közöttük lévő dinamikák irányára és erősségére.</w:t>
      </w:r>
      <w:r>
        <w:rPr>
          <w:color w:val="000000"/>
          <w:sz w:val="24"/>
          <w:szCs w:val="24"/>
        </w:rPr>
        <w:br/>
        <w:t xml:space="preserve">Elemzésem az elmúlt 13 év adataira koncentrálódik, valamint az összeegyeztethetőség</w:t>
      </w:r>
      <w:r>
        <w:rPr>
          <w:color w:val="000000"/>
          <w:sz w:val="24"/>
          <w:szCs w:val="24"/>
        </w:rPr>
        <w:br/>
        <w:t xml:space="preserve">érdekében havi bontásban használom fel a bemenő értékeket.</w:t>
      </w:r>
      <w:r>
        <w:rPr>
          <w:color w:val="000000"/>
          <w:sz w:val="24"/>
          <w:szCs w:val="24"/>
        </w:rPr>
        <w:br/>
        <w:t xml:space="preserve">Vizsgálatom során a korábbi, hasonló témában íródott tanulmányokra támaszkodom,</w:t>
      </w:r>
      <w:r>
        <w:rPr>
          <w:color w:val="000000"/>
          <w:sz w:val="24"/>
          <w:szCs w:val="24"/>
        </w:rPr>
        <w:br/>
        <w:t xml:space="preserve">melyekből kiindulva meghatározom a szükséges változók körét. Makrogazdasági oldalról</w:t>
      </w:r>
      <w:r>
        <w:rPr>
          <w:color w:val="000000"/>
          <w:sz w:val="24"/>
          <w:szCs w:val="24"/>
        </w:rPr>
        <w:br/>
        <w:t xml:space="preserve">kontrollváltozóként használom fel az EUR/HUF árfolyamot, a fogyasztói árindexet, a</w:t>
      </w:r>
      <w:r>
        <w:rPr>
          <w:color w:val="000000"/>
          <w:sz w:val="24"/>
          <w:szCs w:val="24"/>
        </w:rPr>
        <w:br/>
        <w:t xml:space="preserve">maginflációt, az ipari termelést, a központi kormányzat egyenlegét, a pénzkínálatot, valamint a</w:t>
      </w:r>
      <w:r>
        <w:rPr>
          <w:color w:val="000000"/>
          <w:sz w:val="24"/>
          <w:szCs w:val="24"/>
        </w:rPr>
        <w:br/>
        <w:t xml:space="preserve">rövid, közép és hosszú lejáratú állampapírok referenciahozamait. A tőkepiac helyzetét leíró</w:t>
      </w:r>
      <w:r>
        <w:rPr>
          <w:color w:val="000000"/>
          <w:sz w:val="24"/>
          <w:szCs w:val="24"/>
        </w:rPr>
        <w:br/>
        <w:t xml:space="preserve">változók közül a magyar részvénypiac proxy változójaként, a BUX indexet alkalmazom VAR</w:t>
      </w:r>
      <w:r>
        <w:rPr>
          <w:color w:val="000000"/>
          <w:sz w:val="24"/>
          <w:szCs w:val="24"/>
        </w:rPr>
        <w:br/>
        <w:t xml:space="preserve">modellemben. A VAR modell segítségével meghatározható a fentebb leírt változók közötti</w:t>
      </w:r>
      <w:r>
        <w:rPr>
          <w:color w:val="000000"/>
          <w:sz w:val="24"/>
          <w:szCs w:val="24"/>
        </w:rPr>
        <w:br/>
        <w:t xml:space="preserve">dinamika, valamint az optimális késleltetési struktúra megválasztásával számszerűsíthető a</w:t>
      </w:r>
      <w:r>
        <w:rPr>
          <w:color w:val="000000"/>
          <w:sz w:val="24"/>
          <w:szCs w:val="24"/>
        </w:rPr>
        <w:br/>
        <w:t xml:space="preserve">különböző változókat érő sokkok időbeli lefolyásának mértéke és a többi ismérv előrejelzé si</w:t>
      </w:r>
      <w:r>
        <w:rPr>
          <w:color w:val="000000"/>
          <w:sz w:val="24"/>
          <w:szCs w:val="24"/>
        </w:rPr>
        <w:br/>
        <w:t xml:space="preserve">hatásainak szignifikanciája. Ezek vizsgálatára alkalmasak az impulzusválasz függvények .</w:t>
      </w:r>
      <w:r>
        <w:rPr>
          <w:color w:val="000000"/>
          <w:sz w:val="24"/>
          <w:szCs w:val="24"/>
        </w:rPr>
        <w:br/>
        <w:t xml:space="preserve">VAR modellek legfontosabb tulajdonsága, hogy az egyidejű hatások helyett a késleltetett</w:t>
      </w:r>
      <w:r>
        <w:rPr>
          <w:color w:val="000000"/>
          <w:sz w:val="24"/>
          <w:szCs w:val="24"/>
        </w:rPr>
        <w:br/>
        <w:t xml:space="preserve">hatásokra koncentrálnak, amelyeknek az indikátora a Granger-féle kauzális kapcsolat.</w:t>
      </w:r>
      <w:r>
        <w:rPr>
          <w:color w:val="000000"/>
          <w:sz w:val="24"/>
          <w:szCs w:val="24"/>
        </w:rPr>
        <w:br/>
        <w:t xml:space="preserve">Kointegráltság fennállása esetén pedig VECM modellt alkalmazok, melynek egyik előnye az</w:t>
      </w:r>
      <w:r>
        <w:rPr>
          <w:color w:val="000000"/>
          <w:sz w:val="24"/>
          <w:szCs w:val="24"/>
        </w:rPr>
        <w:br/>
        <w:t xml:space="preserve">előbb említett módszertanhoz képest, hogy a szimultán hatásokat is képes megragadni.</w:t>
      </w:r>
      <w:r>
        <w:rPr>
          <w:color w:val="000000"/>
          <w:sz w:val="24"/>
          <w:szCs w:val="24"/>
        </w:rPr>
        <w:br/>
        <w:t xml:space="preserve">Mindezeket felhasználva megállapítom a dinamikák irányát és erősségét, valamint a</w:t>
      </w:r>
      <w:r>
        <w:rPr>
          <w:color w:val="000000"/>
          <w:sz w:val="24"/>
          <w:szCs w:val="24"/>
        </w:rPr>
        <w:br/>
        <w:t xml:space="preserve">makrogazdaság oldaláról megközelítve megmagyarázom az okságok mögött meghúzódó</w:t>
      </w:r>
      <w:r>
        <w:rPr>
          <w:color w:val="000000"/>
          <w:sz w:val="24"/>
          <w:szCs w:val="24"/>
        </w:rPr>
        <w:br/>
        <w:t xml:space="preserve">folyamatokat. Eredményeim alátámasztják, hogy a tőkepiac késleltetve tud hatást gyakorolni a</w:t>
      </w:r>
      <w:r>
        <w:rPr>
          <w:color w:val="000000"/>
          <w:sz w:val="24"/>
          <w:szCs w:val="24"/>
        </w:rPr>
        <w:br/>
        <w:t xml:space="preserve">reálgazdasági tevékenységre, valamint, hogy a jegybank közvetetten befolyásolni tudja a</w:t>
      </w:r>
      <w:r>
        <w:rPr>
          <w:color w:val="000000"/>
          <w:sz w:val="24"/>
          <w:szCs w:val="24"/>
        </w:rPr>
        <w:br/>
        <w:t xml:space="preserve">részvénypiacot. Ezen kívül szignifikáns kapcsolatot azonosítottam az állampapírpiaci hozamok</w:t>
      </w:r>
      <w:r>
        <w:rPr>
          <w:color w:val="000000"/>
          <w:sz w:val="24"/>
          <w:szCs w:val="24"/>
        </w:rPr>
        <w:br/>
        <w:t xml:space="preserve">és az EUR/HUF árfolyam alakulása között. A részvények és az állampapírok közötti</w:t>
      </w:r>
      <w:r>
        <w:rPr>
          <w:color w:val="000000"/>
          <w:sz w:val="24"/>
          <w:szCs w:val="24"/>
        </w:rPr>
        <w:br/>
        <w:t xml:space="preserve">helyettesíthetőséget nem tudtam eredményeimmel igazolni.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52265">
    <w:multiLevelType w:val="hybridMultilevel"/>
    <w:lvl w:ilvl="0" w:tplc="75468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52265">
    <w:abstractNumId w:val="60752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488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