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BENEDEK BÁTKI</w:t>
            </w:r>
          </w:p>
          <w:p w:rsidR="00C275A3" w:rsidRDefault="00186641" w:rsidP="00C275A3">
            <w:pPr>
              <w:pStyle w:val="Hallgatokepzes"/>
            </w:pPr>
            <w:r w:rsidRPr="002361E2">
              <w:rPr>
                <w:i/>
              </w:rPr>
              <w:t>batki.benedek@gmail.com</w:t>
            </w:r>
            <w:r w:rsidRPr="002361E2">
              <w:rPr>
                <w:i/>
              </w:rPr>
              <w:br/>
            </w:r>
            <w:r w:rsidR="00A96AEC">
              <w:t>Applied Economics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Madari</w:t>
            </w:r>
          </w:p>
          <w:p w:rsidR="00DB4822" w:rsidRDefault="00DB4822" w:rsidP="009763E0">
            <w:pPr>
              <w:pStyle w:val="Konzulensektitulus"/>
            </w:pPr>
            <w:r w:rsidRPr="00DB4822">
              <w:t>Assistant lecturer,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dynamic relationships between the Hungarian stock market and macroeconomic indicators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between the Hungarian stock market and the most important macroeconomic indicators, I analyse causal relationships, while also paying attention to the direction and strength of the dynamics between them. My analysis focuses on data from the last 13 years, as for comparability I use the input values in a monthly breakdown.</w:t>
      </w:r>
      <w:r>
        <w:rPr>
          <w:color w:val="000000"/>
          <w:sz w:val="24"/>
          <w:szCs w:val="24"/>
        </w:rPr>
        <w:br/>
        <w:t xml:space="preserve">During my analysis, I rely on significant previous studies, based on which I determine the range of necessary variables. From a macroeconomic point of view, I use the EUR/HUF exchange rate, the consumer price index, the core inflation, the industrial production, the balance of the central government, the money supply, and the reference yields of short, medium and long-term government securities. As the variables which describe the situation of the capital market, I use the BUX index as a proxy variable for the Hungarian stock market in my VAR model. The VAR model can be used to determine the dynamic relationships between the variables described above, and by choosing the optimal lag structure, it is possible to quantify the time course of shocks affecting the different variables and the significance of the parameters’ forecasting capability. Impulse response functions are suitable for examining these. The most important feature of VAR models is that, instead of simultaneous effects, they focus on the delayed effects, the indicator of which is the Granger causal relationship. In the case of cointegration, I use the VECM model, one of the advantages of which is that compared to the previously mentioned methodology, it can also capture simultaneous effects. Using all of these, I determine the direction and strength of the dynamics, as well as from the macroeconomic point of view, I will explain the casual relationships’ underlying processe. My results support that the capital market can have a delayed effect on the real economic activity, and that the central bank can indirectly influence the stock market. In addition, I identified a significant relationship between government bond market yields and the development of the EUR/HUF exchange rate. Based on my results, I could not prove the substitutability between shares and government securities.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21190">
    <w:multiLevelType w:val="hybridMultilevel"/>
    <w:lvl w:ilvl="0" w:tplc="15804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21190">
    <w:abstractNumId w:val="194211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580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