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EŐRY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eory.fanni@gmail.com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Gazdaság- és Közpolitika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FEKETE DALMA ESZTER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dalmus111@gmail.com</w:t>
            </w:r>
            <w:r w:rsidRPr="002361E2">
              <w:rPr>
                <w:i/>
              </w:rPr>
              <w:br/>
            </w:r>
            <w:bookmarkEnd w:id="1"/>
            <w:r w:rsidR="00C275A3">
              <w:t>Pénzügy és számvitel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Közpolitika Intézet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Kovarek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doktronadusz,  Central European University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jelent igazán boldognak lenni? Regressziós elemzés a magyar diákok élettel való elégedettségéről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élettel való elégedettséget befolyásoló folyamatok feltárása. A dolgozat kutatási kérdése, hogy a 15-16 éves magyar diákok szubjektív jóllétére milyen külső és belső tényezők vannak hatással. A dolgozat a 2018-as PISA adatbázis elemeiből a magyar iskolákban végzett felmérés adatait használja fel. A kutatás módszertana lineáris regressziós becslés,</w:t>
      </w:r>
      <w:r>
        <w:rPr>
          <w:color w:val="000000"/>
          <w:sz w:val="24"/>
          <w:szCs w:val="24"/>
        </w:rPr>
        <w:br/>
        <w:t xml:space="preserve">melynek függő változója a tanulók élettel való elégedettsége, amit tizenegy független változóval magyaráz. A hipotéziseit az egyén-környezet dimenziók mentén a szakirodalomban található modellek segítségével fogalmazza meg. A dolgozat arra az eredményre jut, hogy a magyar diákok élettel való elégedettségére szignifikáns hatással van az alapvető pszichológiai</w:t>
      </w:r>
      <w:r>
        <w:rPr>
          <w:color w:val="000000"/>
          <w:sz w:val="24"/>
          <w:szCs w:val="24"/>
        </w:rPr>
        <w:br/>
        <w:t xml:space="preserve">szükségleteket kielégítő tényezők együttese, úgy mint az észlelt autonómia, a kompetencia és a társas kapcsolatok minősége. A kutatás továbbá megállapítja, hogy az iskolai klímát alakító tényezők nagyobb mértékben befolyásolják a serdülők szubjektív jóllétét, mint a külső, szocioökonómiai tényezők. A konklúziók levonása után javaslatokat tesz a pozitív iskolai</w:t>
      </w:r>
      <w:r>
        <w:rPr>
          <w:color w:val="000000"/>
          <w:sz w:val="24"/>
          <w:szCs w:val="24"/>
        </w:rPr>
        <w:br/>
        <w:t xml:space="preserve">légkör megteremtésére és felhívja a figyelmet a fiatalkori boldogság meglétének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39973">
    <w:multiLevelType w:val="hybridMultilevel"/>
    <w:lvl w:ilvl="0" w:tplc="37702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39973">
    <w:abstractNumId w:val="505399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495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