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LUCA FANNI SOMOSI</w:t>
            </w:r>
          </w:p>
          <w:p w:rsidR="00C275A3" w:rsidRDefault="00186641" w:rsidP="00C275A3">
            <w:pPr>
              <w:pStyle w:val="Hallgatokepzes"/>
            </w:pPr>
            <w:r w:rsidRPr="002361E2">
              <w:rPr>
                <w:i/>
              </w:rPr>
              <w:t>fanni.somosi@gmail.com</w:t>
            </w:r>
            <w:r w:rsidRPr="002361E2">
              <w:rPr>
                <w:i/>
              </w:rPr>
              <w:br/>
            </w:r>
            <w:r w:rsidR="00A96AEC">
              <w:t>Business Administration and Management</w:t>
            </w:r>
            <w:r w:rsidR="00A96AEC">
              <w:br/>
            </w:r>
            <w:r w:rsidR="00E77B23">
              <w:t>BA,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Belázs Felsmann</w:t>
            </w:r>
          </w:p>
          <w:p w:rsidR="00DB4822" w:rsidRDefault="00DB4822" w:rsidP="009763E0">
            <w:pPr>
              <w:pStyle w:val="Konzulensektitulus"/>
            </w:pPr>
            <w:r w:rsidRPr="00DB4822">
              <w:t>adjunct, BCE GT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FROM NEAR BANKRUPTCY TO THE PARIS FASHION WEEK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paper will use a framework of business theory and international strategic management to determine how Nanushka's business model, which was restructured in 2016, can ensure the company's success through internationalisation. It uses the Business Model Canvas analysis tool by Osterwalder and Pigneur to examine Nanushka's business model, the Ansoff matrix to analyse the company's development potential, and the transnational index to examine the level of internationalisation. Among the theories of the firm, the resource-based theory is used to identify Nanushka's key resources, while the entrepreneurial theory is used to identify the entrepreneurial role of the firm in facilitating international expansion. The analysis also includes an assessment of Nanushka's dynamic capabilities. The paper assesses the regional situation and opportunities of the contemporary fashion segment and the resources that could provide a competitive advantage to the players in the segment. The findings of the thesis include that Nanushka is a leader in the region and that the restructured business model is dominated by processes and tools that support international market entry. In addition, the paper identifies Nanushka's key strengths as influencer marketing and brand identity, which have been pursued since the company's inception, and examines the role of the entrepreneur in recognising the potential for internationalisation. It also assesses the processes, capabilities and strategies that support internationalisation. Finally, the author assesses Nanushka's future opportunities and international potential.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209992">
    <w:multiLevelType w:val="hybridMultilevel"/>
    <w:lvl w:ilvl="0" w:tplc="748869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209992">
    <w:abstractNumId w:val="102099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09501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