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TIMÁR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tbarna119@gmail.com</w:t>
            </w:r>
            <w:r w:rsidRPr="002361E2">
              <w:rPr>
                <w:i/>
              </w:rPr>
              <w:br/>
            </w:r>
            <w:r w:rsidR="00A96AEC">
              <w:t>Business Informatics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Gábor Neszveda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Does the Market Price Responsible and Sustainable Investments?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study, I investigate whether it is possible to prove the hypothesis that investing</w:t>
      </w:r>
      <w:r>
        <w:rPr>
          <w:color w:val="000000"/>
          <w:sz w:val="24"/>
          <w:szCs w:val="24"/>
        </w:rPr>
        <w:br/>
        <w:t xml:space="preserve">in responsible, sustainable companies can be financially more rewarding from the</w:t>
      </w:r>
      <w:r>
        <w:rPr>
          <w:color w:val="000000"/>
          <w:sz w:val="24"/>
          <w:szCs w:val="24"/>
        </w:rPr>
        <w:br/>
        <w:t xml:space="preserve">perspective of investors, i.e. can result in higher profit than investing in companies</w:t>
      </w:r>
      <w:r>
        <w:rPr>
          <w:color w:val="000000"/>
          <w:sz w:val="24"/>
          <w:szCs w:val="24"/>
        </w:rPr>
        <w:br/>
        <w:t xml:space="preserve">that ignore these aspects. My further assumption is that this profit can be increased</w:t>
      </w:r>
      <w:r>
        <w:rPr>
          <w:color w:val="000000"/>
          <w:sz w:val="24"/>
          <w:szCs w:val="24"/>
        </w:rPr>
        <w:br/>
        <w:t xml:space="preserve">if I apply different restrictions or relative scores. I tested my hypotheses empirically</w:t>
      </w:r>
      <w:r>
        <w:rPr>
          <w:color w:val="000000"/>
          <w:sz w:val="24"/>
          <w:szCs w:val="24"/>
        </w:rPr>
        <w:br/>
        <w:t xml:space="preserve">on data from the New York Stock Exchange, both on investment strategies (portfolio</w:t>
      </w:r>
      <w:r>
        <w:rPr>
          <w:color w:val="000000"/>
          <w:sz w:val="24"/>
          <w:szCs w:val="24"/>
        </w:rPr>
        <w:br/>
        <w:t xml:space="preserve">creation) and at stock level (regression). I performed the tests for the total market, in</w:t>
      </w:r>
      <w:r>
        <w:rPr>
          <w:color w:val="000000"/>
          <w:sz w:val="24"/>
          <w:szCs w:val="24"/>
        </w:rPr>
        <w:br/>
        <w:t xml:space="preserve">detailed industry breakdowns and groupings as well. I tested the examined indicators</w:t>
      </w:r>
      <w:r>
        <w:rPr>
          <w:color w:val="000000"/>
          <w:sz w:val="24"/>
          <w:szCs w:val="24"/>
        </w:rPr>
        <w:br/>
        <w:t xml:space="preserve">(ESG, ENV) in isolation and with a relative approach, over several time horizons.</w:t>
      </w:r>
      <w:r>
        <w:rPr>
          <w:color w:val="000000"/>
          <w:sz w:val="24"/>
          <w:szCs w:val="24"/>
        </w:rPr>
        <w:br/>
        <w:t xml:space="preserve">For most of the tests, I obtained non-significant results; for some industries a minor</w:t>
      </w:r>
      <w:r>
        <w:rPr>
          <w:color w:val="000000"/>
          <w:sz w:val="24"/>
          <w:szCs w:val="24"/>
        </w:rPr>
        <w:br/>
        <w:t xml:space="preserve">negative impact can be seen, and for the regressions I obtained coefficients that are</w:t>
      </w:r>
      <w:r>
        <w:rPr>
          <w:color w:val="000000"/>
          <w:sz w:val="24"/>
          <w:szCs w:val="24"/>
        </w:rPr>
        <w:br/>
        <w:t xml:space="preserve">significant, but of negligible economic significance. Temporal decomposition shows</w:t>
      </w:r>
      <w:r>
        <w:rPr>
          <w:color w:val="000000"/>
          <w:sz w:val="24"/>
          <w:szCs w:val="24"/>
        </w:rPr>
        <w:br/>
        <w:t xml:space="preserve">the increasing significance of ESG and ENV, but even for the later time series it is not</w:t>
      </w:r>
      <w:r>
        <w:rPr>
          <w:color w:val="000000"/>
          <w:sz w:val="24"/>
          <w:szCs w:val="24"/>
        </w:rPr>
        <w:br/>
        <w:t xml:space="preserve">considered significant. The results suggest that the aspects under investigation are</w:t>
      </w:r>
      <w:r>
        <w:rPr>
          <w:color w:val="000000"/>
          <w:sz w:val="24"/>
          <w:szCs w:val="24"/>
        </w:rPr>
        <w:br/>
        <w:t xml:space="preserve">not yet priced by the market, so my hypotheses were not confirmed. This could be</w:t>
      </w:r>
      <w:r>
        <w:rPr>
          <w:color w:val="000000"/>
          <w:sz w:val="24"/>
          <w:szCs w:val="24"/>
        </w:rPr>
        <w:br/>
        <w:t xml:space="preserve">due to the greenwashing phenomenon or the developed US market.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59736">
    <w:multiLevelType w:val="hybridMultilevel"/>
    <w:lvl w:ilvl="0" w:tplc="40349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59736">
    <w:abstractNumId w:val="53359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91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