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LILLA TÜNDE SÁFI</w:t>
            </w:r>
          </w:p>
          <w:p w:rsidR="00C275A3" w:rsidRDefault="00186641" w:rsidP="00C275A3">
            <w:pPr>
              <w:pStyle w:val="Hallgatokepzes"/>
            </w:pPr>
            <w:r w:rsidRPr="002361E2">
              <w:rPr>
                <w:i/>
              </w:rPr>
              <w:t>safi.lilla2000@gmail.com</w:t>
            </w:r>
            <w:r w:rsidRPr="002361E2">
              <w:rPr>
                <w:i/>
              </w:rPr>
              <w:br/>
            </w:r>
            <w:r w:rsidR="00A96AEC">
              <w:t>Economic and Financial Mathematical Analysis</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Senior Research Expert,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effect does the rise of FinTech companies have on the share prices of incum-bent banks listed on New York Stock Exchange?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FinTech companies are one of the most exciting phenomena of our time, and their explosive growth started less than a decade ago. The new entrants to the financial market are at the forefront of innovation, driving banks to evolve - but the question is how the rise of FinTech firms will affect bank share prices. Will banks successfully win or lose in the innovation and price war? In this research, we investigate whether and how the share price of banks listed on the New York Stock Exchange between 2004 and 2019 is influenced by the increasing penetration of FinTech firms. We test whether a variable measuring the covariance with the rising of FinTech firms can be included in the Fama-French three-factor model - the value of this variable is estimated using univariate rank ordering, as for the other three Fama-French factors. Our hypothesis that the rise of FinTech firms has a positive effect on bank stock prices is only partially confirmed: we obtain a positive but not statistically significant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16607">
    <w:multiLevelType w:val="hybridMultilevel"/>
    <w:lvl w:ilvl="0" w:tplc="38708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16607">
    <w:abstractNumId w:val="19916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270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