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CSONKA VERONIKA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veronikacsonka1@gmail.com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Vili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Zsinka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kárpát-medencei parlagi sasok kelési diszperziójának vizsgálata az ivar és a territórium helyzetének függvényében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kelési diszperzió, azaz a kikelési helyről az első szaporodási helyre történő átmozgás lehetőséget ad a beltenyésztettség elkerülésére, a rokonok közötti versengés csökkentésére és a kedvezőbb területek megtalálására. Ezen jelenség vizsgálata során nyert információk nagyon hasznosak lehetnek a fajvédelmi programok számára.</w:t>
      </w:r>
      <w:r>
        <w:rPr>
          <w:color w:val="000000"/>
          <w:sz w:val="24"/>
          <w:szCs w:val="24"/>
        </w:rPr>
        <w:br/>
        <w:t xml:space="preserve">Magyarországon az 1980-as évek végén 15-25 parlagi sas (Aquila heliaca) pár költött, az állomány azóta megtöbbszöröződött. A populáció kis egyedszámról történő gyors növekedése miatt várható magas beltenyésztettség azonban nem volt kimutatható, ami valamilyen rokonelkerülési mechanizmus, például ivarfüggő kelési diszperzió meglétére enged következtetni. Kutatásunkban a diszperziós távolság ilyen jellegű ivarfüggését, valamint a territórium helyzetének esetleges befolyásoló hatását vizsgáltuk.</w:t>
      </w:r>
      <w:r>
        <w:rPr>
          <w:color w:val="000000"/>
          <w:sz w:val="24"/>
          <w:szCs w:val="24"/>
        </w:rPr>
        <w:br/>
        <w:t xml:space="preserve">Elvégeztük 537 parlagi sas fióka és 223 költő madár kilenc mikroszatellita lókuszon alapuló egyedi azonosítását és molekuláris ivarhatározását, majd megkerestük a két korcsoportban az egyező genotípusú egyedeket. Fészekkoordináták alapján kiszámoltuk a diszperziós távolságokat, és megállapítottuk az egyes fészkek körüli lokális denzitást az adott fészek körüli azévi legközelebbi szomszéd távolságok (NND) mediánjának kétszeresével húzott körben található fészkek száma alapján.</w:t>
      </w:r>
      <w:r>
        <w:rPr>
          <w:color w:val="000000"/>
          <w:sz w:val="24"/>
          <w:szCs w:val="24"/>
        </w:rPr>
        <w:br/>
        <w:t xml:space="preserve">Az egyedi azonosítás során teljes egyezést 30 esetben (8 hím, 22 tojó) találtunk. A kelési diszperzió mediánja hímek esetében 30,36 km (SD = 13,27 km), tojóknál 46,50 km (SD = 55,90 km) volt. Brunner-Munzel teszt permutációs változata alapján szignifikáns különbség mutatkozott a két ivar diszperziós távolsága között. A költő egyedek fészkei körüli denzitás csökkenést mutatott a kelési helyükhöz képest. A fióka-, illetve felnőttkori denzitás, valamint az ivar diszperzióra gyakorolt hatása sem bizonyult szignifikánsnak.</w:t>
      </w:r>
      <w:r>
        <w:rPr>
          <w:color w:val="000000"/>
          <w:sz w:val="24"/>
          <w:szCs w:val="24"/>
        </w:rPr>
        <w:br/>
        <w:t xml:space="preserve">A hímek és tojók diszperziós távolságának eloszlása különbözött, ami a két ivar eltérő diszperziós stratégiájára, a kelési és költési hely denzitása között megfigyelhető csökkenő tendencia pedig negatív denzitásfüggésre utalhat. A statisztikai elemzést nehezítette a kevés fióka-költő egyezés, amit a szigorú azonossági feltételeken kívül a fiókák elvándorlása, vagy párba állásának esetleges alacsony sikere magyarázhat. Emiatt a továbbiakban fontos lenne bővebb markerkészlettel, valamint a kirepült fiókák mortalitását és költési sikerét figyelembe véve folytatni a vizsgálatot.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155948">
    <w:multiLevelType w:val="hybridMultilevel"/>
    <w:lvl w:ilvl="0" w:tplc="399118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155948">
    <w:abstractNumId w:val="711559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4940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