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ÉGERHÁZI</w:t>
            </w:r>
          </w:p>
          <w:p w:rsidR="00C275A3" w:rsidRDefault="00186641" w:rsidP="00C275A3">
            <w:pPr>
              <w:pStyle w:val="Hallgatokepzes"/>
            </w:pPr>
            <w:r w:rsidRPr="002361E2">
              <w:rPr>
                <w:i/>
              </w:rPr>
              <w:t>balintegerhazi@gmail.com</w:t>
            </w:r>
            <w:r w:rsidRPr="002361E2">
              <w:rPr>
                <w:i/>
              </w:rPr>
              <w:br/>
            </w:r>
            <w:r w:rsidR="00A96AEC">
              <w:t>Regional and Environmental Economics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Varga</w:t>
            </w:r>
          </w:p>
          <w:p w:rsidR="00DB4822" w:rsidRDefault="00DB4822" w:rsidP="009763E0">
            <w:pPr>
              <w:pStyle w:val="Konzulensektitulus"/>
            </w:pPr>
            <w:r w:rsidRPr="00DB4822">
              <w:t>assistant professor, BCE TT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changes in regional competitiveness through the territorial inequalities of small- and medium-sized enterprises in the Visegrád Group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small and medium-sized enterprises (SMEs) is a topic that is constantly on the agenda at the national and European Union level. The SME sector has the highest demand for employment and, through innovative business and technological solutions, they have an important impact on the quality of available products and services. Through their products and services provided to larger companies, they can represent an important economic value regionally; it is no coincidence that nations also look to this sector to improve their regional competitiveness.</w:t>
      </w:r>
    </w:p>
    <w:p>
      <w:pPr>
        <w:widowControl w:val="on"/>
        <w:pBdr/>
        <w:spacing w:before="240" w:after="240" w:line="240" w:lineRule="auto"/>
        <w:ind w:left="0" w:right="0"/>
        <w:jc w:val="left"/>
      </w:pPr>
      <w:r>
        <w:rPr>
          <w:color w:val="000000"/>
          <w:sz w:val="24"/>
          <w:szCs w:val="24"/>
        </w:rPr>
        <w:t xml:space="preserve">In my research, I aim to answer if the territorial concentration and spatial pattern of SMEs (contributing to regional competitiveness) changed significantly in recent years in the Visegrád countries? In the course of my research I do not carry out the spatial examination of enterprises at the lowest NUTS-3 level harmonized by Eurostat, but at the LAU-1 ('district level') territorial level by implementing my own data harmonization based on the databases of the national statistical offices. Due to the challenges of data harmonization, this is yet unprecedented in the domestic and international literature dealing with the subject. My thesis explores the LAU-1 level economic and welfare inequalities of the V4s through SME distribution and SME density. An important aspect when researching Central and Eastern European countries is the assessment of the concentration effect of the capitals and other metropolitan regions and the examination of the effect on the businesses of the surrounding/rural micro-regions.</w:t>
      </w:r>
    </w:p>
    <w:p>
      <w:pPr>
        <w:widowControl w:val="on"/>
        <w:pBdr/>
        <w:spacing w:before="240" w:after="240" w:line="240" w:lineRule="auto"/>
        <w:ind w:left="0" w:right="0"/>
        <w:jc w:val="left"/>
      </w:pPr>
      <w:r>
        <w:rPr>
          <w:color w:val="000000"/>
          <w:sz w:val="24"/>
          <w:szCs w:val="24"/>
        </w:rPr>
        <w:t xml:space="preserve">My results show that the Czech Republic stands out among the performance of the four states in terms of SME density and territorial balance. Due to its metropolitan network, Poland ranks lower in terms of territorial polarization. With the exception of the Czech districts, a strong east-west divide can be seen in the case of the other three countries. Budapest has the greatest regional concentrating effect in the field of small businesses, while Bratislava has a very strong polarizing effect in the group of Slovak cities in the case of medium-sized enterprises. It should be emphasized that only Hungary was able to make significant sectoral development during the examined period, but the territorial pattern of development reveals that Hungary has a strong "pull-region" phenomenon, i.e. national-level development is more unevenly distributed between districts than in the other three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96996">
    <w:multiLevelType w:val="hybridMultilevel"/>
    <w:lvl w:ilvl="0" w:tplc="45189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96996">
    <w:abstractNumId w:val="35996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220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