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HUNOR KELEMEN</w:t>
            </w:r>
          </w:p>
          <w:p w:rsidR="00C275A3" w:rsidRDefault="00186641" w:rsidP="00C275A3">
            <w:pPr>
              <w:pStyle w:val="Hallgatokepzes"/>
            </w:pPr>
            <w:r w:rsidRPr="002361E2">
              <w:rPr>
                <w:i/>
              </w:rPr>
              <w:t>hunor.kelemen98@gmail.com</w:t>
            </w:r>
            <w:r w:rsidRPr="002361E2">
              <w:rPr>
                <w:i/>
              </w:rPr>
              <w:br/>
            </w:r>
            <w:r w:rsidR="00A96AEC">
              <w:t>International Business</w:t>
            </w:r>
            <w:r w:rsidR="00A96AEC">
              <w:br/>
            </w:r>
            <w:r w:rsidR="00E77B23">
              <w:t>BSc,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Antal Péter Szántay</w:t>
            </w:r>
          </w:p>
          <w:p w:rsidR="00DB4822" w:rsidRDefault="00DB4822" w:rsidP="009763E0">
            <w:pPr>
              <w:pStyle w:val="Konzulensektitulus"/>
            </w:pPr>
            <w:r w:rsidRPr="00DB4822">
              <w:t>associate professor, BCE KSZI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a savings bank to a transnational bank – The circumstances of OTP Bank's expansion position following the transition of banking systems in post-socialist countries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reveals the reasons for the success of the OTP Bank's international expansion and answers the question how it transformed from a socialist savings bank into a transnational company in nearly one and half decade after the regime change. The internationalization process of companies is a widely researched field of economics with an extremely rich range of approaches. In this study, proceeding in chronological order, the paper contextualizes the various factors that played a significant role in the internationalization process as a whole. Using a quantitative methodology, in the lights of the circumstances of the domestic and regional bank privatization processes, especially the structural changes and expansion policy of OTP Bank the paper answers the following question: how did a residential savings bank turn from a regional to a decisive, national strategically determinative, transnational bank? In my research, I attempt to uncover the factors that underpin the bank's international and domestic reputation with the stated goal of to shed light on the key factors of the success of OTP Bank's expansion activities in international and historical contexts.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38198">
    <w:multiLevelType w:val="hybridMultilevel"/>
    <w:lvl w:ilvl="0" w:tplc="88981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38198">
    <w:abstractNumId w:val="290381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4686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