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RUBEN ISTVAN DURKO</w:t>
            </w:r>
          </w:p>
          <w:p w:rsidR="00C275A3" w:rsidRDefault="00186641" w:rsidP="00C275A3">
            <w:pPr>
              <w:pStyle w:val="Hallgatokepzes"/>
            </w:pPr>
            <w:r w:rsidRPr="002361E2">
              <w:rPr>
                <w:i/>
              </w:rPr>
              <w:t>rubendurko@gmail.com</w:t>
            </w:r>
            <w:r w:rsidRPr="002361E2">
              <w:rPr>
                <w:i/>
              </w:rPr>
              <w:br/>
            </w:r>
            <w:r w:rsidR="00A96AEC">
              <w:t>Business administration and management</w:t>
            </w:r>
            <w:r w:rsidR="00A96AEC">
              <w:br/>
            </w:r>
            <w:r w:rsidR="00E77B23">
              <w:t>BSc, 8.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Zoltán Madari</w:t>
            </w:r>
          </w:p>
          <w:p w:rsidR="00DB4822" w:rsidRDefault="00DB4822" w:rsidP="009763E0">
            <w:pPr>
              <w:pStyle w:val="Konzulensektitulus"/>
            </w:pPr>
            <w:r w:rsidRPr="00DB4822">
              <w:t>assistant professor, BCE MSMI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Debt structure analysis of the European Union member states over the last two dacades using clusters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paper examines the developments in the public debt of the European Union member states, including changes in the debt structure indicators, as a case study. In particular, the impact of the two major crises of the last two decades - the global financial and sovereign debt crisis of 2008-2009 and the coronavirus crisis of 2020. Through a collection of relevant research, theoretical concepts related to sovereign debt and, within this, studies on possible decompositions of the debt structure are presented. The case study examines the developments of three main debt structure indicators: the foreign exchange ratio of public debt, the share of stocks held by foreign investors and the share of short-term liabilities in total debt. One of the objectives of the research is to examine whether the developments in the debt structure of EU countries are in line with theoretical movements and whether parallels can be drawn between theory and practice. The results show that while developments in the foreign exchange share of government debt and the weight of short-term elements were in line with studies on government debt, the development of the share held by foreign investors was exactly opposite to theoretical considerations. Another aim of the paper is to identify similar debt structure strategies and trends across EU countries through cluster analysis. The results suggest that, on a geographical and developmental basis, clusters of countries with similar debt structure indicators over the period under study emerge, while euro area membership through low exchange rates is a more cohesive force than geographical location in terms of countries' debt strategies.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505831">
    <w:multiLevelType w:val="hybridMultilevel"/>
    <w:lvl w:ilvl="0" w:tplc="639950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505831">
    <w:abstractNumId w:val="575058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44820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