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MÁLITS</w:t>
            </w:r>
          </w:p>
          <w:p w:rsidR="00C275A3" w:rsidRDefault="00186641" w:rsidP="00C275A3">
            <w:pPr>
              <w:pStyle w:val="Hallgatokepzes"/>
            </w:pPr>
            <w:r w:rsidRPr="002361E2">
              <w:rPr>
                <w:i/>
              </w:rPr>
              <w:t>peter.malits@stud.uni-corvinus.hu</w:t>
            </w:r>
            <w:r w:rsidRPr="002361E2">
              <w:rPr>
                <w:i/>
              </w:rPr>
              <w:br/>
            </w:r>
            <w:r w:rsidR="00A96AEC">
              <w:t>International Business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Europe, the green continent? Evaluation of the European Union's climate protection efforts using different approaches of the Environmental Kuznets Curve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Climate change has become an integral part of the European politics and the European Union as a bloc has set ambitious targets for reducing greenhouse gas targets while aiming to maintain its dynamic economic growth. In context of the Environmental Kuznets Curve (EKC) hypothesis, there is a point of economic development beyond which the environmental degradation in a certain country or region decreases. The vast majority of research with a goal to prove the EKC hypothesis selects territorial carbon dioxide emission as measure of the environmental impact, as it is the common practice in international emission accounting. In contrast, consumption-based carbon dioxide emissions, which have been adjusted to embed emissions of internationally traded goods and so can be used as a tool to reflect the lifestyle of the inhabitants of a certain territory, are only exceptionally examined in the literature. However, a comparison of the two accounting approaches can highlight important characteristics of the evolution of emissions.</w:t>
      </w:r>
    </w:p>
    <w:p>
      <w:pPr>
        <w:widowControl w:val="on"/>
        <w:pBdr/>
        <w:spacing w:before="240" w:after="240" w:line="240" w:lineRule="auto"/>
        <w:ind w:left="0" w:right="0"/>
        <w:jc w:val="left"/>
      </w:pPr>
      <w:r>
        <w:rPr>
          <w:color w:val="000000"/>
          <w:sz w:val="24"/>
          <w:szCs w:val="24"/>
        </w:rPr>
        <w:t xml:space="preserve">In my research, I test the Environmental Kuznets Curve hypothesis using static panel econometric tools on data from EU Member States for the period 1995-2018. I seek to answer the following questions: is there is a difference between the results of the two approaches at the EU level and for Member States with net carbon import, and which factors affect the evolution of carbon emissions? The results of the research (which should be interpreted with caution) tend to raise the risk that the EU's contribution to global emission reductions through the import of products with significant embedded emissions is not as large as assumed by the territorial approach. This justifies the implementation of additional strategies and legislation to reduce consumption-based emissions. Nevertheless, the factors that have a significant impact on the evolution of emissions justifies the instruments selected by the EU to pursue the bloc’s climate protection efforts.</w:t>
      </w:r>
    </w:p>
    <w:p>
      <w:pPr>
        <w:widowControl w:val="on"/>
        <w:pBdr/>
        <w:spacing w:before="240" w:after="240" w:line="240" w:lineRule="auto"/>
        <w:ind w:left="0" w:right="0"/>
        <w:jc w:val="left"/>
      </w:pPr>
      <w:r>
        <w:rPr>
          <w:color w:val="000000"/>
          <w:sz w:val="24"/>
          <w:szCs w:val="24"/>
        </w:rPr>
        <w:t xml:space="preserve">Keywords: climate change, European Union, Environmental Kuznets Curve hypothesis, panel econometrics,</w:t>
      </w:r>
      <w:r>
        <w:rPr>
          <w:color w:val="000000"/>
          <w:sz w:val="24"/>
          <w:szCs w:val="24"/>
        </w:rPr>
        <w:br/>
        <w:t xml:space="preserve">JEL classification: C33, O52, Q56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51493">
    <w:multiLevelType w:val="hybridMultilevel"/>
    <w:lvl w:ilvl="0" w:tplc="12012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51493">
    <w:abstractNumId w:val="42351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824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