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BARNABÁS TIMÁR</w:t>
            </w:r>
          </w:p>
          <w:p w:rsidR="00C275A3" w:rsidRDefault="00186641" w:rsidP="00C275A3">
            <w:pPr>
              <w:pStyle w:val="Hallgatokepzes"/>
            </w:pPr>
            <w:r w:rsidRPr="002361E2">
              <w:rPr>
                <w:i/>
              </w:rPr>
              <w:t>tbarna119@gmail.com</w:t>
            </w:r>
            <w:r w:rsidRPr="002361E2">
              <w:rPr>
                <w:i/>
              </w:rPr>
              <w:br/>
            </w:r>
            <w:r w:rsidR="00A96AEC">
              <w:t>Finance</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 PSZGJI</w:t>
            </w:r>
          </w:p>
        </w:tc>
      </w:tr>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climate action events on public awareness and the equity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seek to answer the question of how climate action events affect public awareness and the equity market. In order to answer this question, I examine the impact of twenty selected climate change-related events, major conferences, speeches and agreements. I examine the impact of the events in two stages. First, I look at the movement of the Google trends index of ten climate change-related terms to see if there is a significantly above-average search value in the days around the event. Then, I examine the significance of the abnormal returns of five ETFs with green and five ETFs with polluting industry exposure in the period around the event. I apply the standard international methodology of event study. On the Google trends data, significant above-average search value is detected for a significant proportion of the terms under investigation due to the impact of events. However, further results suggest that climate action events as a whole do not necessarily have a trending effect on the equity market. For each event, individual effects can be seen, but even similar events can trigger reactions in different directions. The most significant events were the IPCC report, the COP 24 conference, the formal US withdrawal from the Paris Agreement and the Glasgow climate strike. Uniform industry trends are difficult to identify, with ETFs with equity exposure with favorable ESG characteristics (RESP) and, surprisingly, tobacco, alcohol, gaming (VICE) and aircraft (JETS) industry exposure expected to have positive effects on average. However, the robustness of these effects is also questionable. For the other industries, the effect is not significant on average. Thus, the impact of climate events on capital markets is very limited.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76912">
    <w:multiLevelType w:val="hybridMultilevel"/>
    <w:lvl w:ilvl="0" w:tplc="56751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76912">
    <w:abstractNumId w:val="34376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794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