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HEILMANN ISTVÁN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heilmanni77@gmail.com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Tőkés László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Reiff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Eötvös Loránd Kutatási Hálózat, Közgazdaság- és Regionális Tudományi Kutatóközpont, Közgazdaság-tudományi Intézet (ELTH KRTK KTI)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2020-as ideiglenes német áfacsökkentés árszínvonalra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elméleti modellekkel közelítem meg korábbi kutatásom eredményeit, melyben azt vizsgáltam, hogy a koronavírus járvány gazdasági hatásainak tompítása érdekében meghozott 2020-as német ideiglenes áfaváltoztatásnak milyen hatása volt a fogyasztói kosár három alkategóriájára: a nem energetikai ipari termékekre, a feldolgozott élelmiszerekre és a szolgáltatások egy részére. Az elemzést 2020 júliusára és 2021 januárjára fókuszálva végeztem el: előbbi esetében csökkentették, utóbbi esetében pedig visszaállították az eredeti áfakulcsokat. Mindezt makroszinten, de termékszintű árszínvonal adatok aggregálásával tettem. Jelen dolgozatomban az empirikusan már ismert eredmények nagyságát és szimmetriáját magyarázom: amennyiben nem volt teljes az áfahatás vagy nem volt szimmetrikus a csökkentés és emelés hatása, úgy ennek lehetséges okait keresem. Részletesen bemutatok árelméleti modelleket, illetve a pozitív és negatív sokkok hatását az árszínvonalra.</w:t>
      </w:r>
      <w:r>
        <w:rPr>
          <w:color w:val="000000"/>
          <w:sz w:val="24"/>
          <w:szCs w:val="24"/>
        </w:rPr>
        <w:br/>
        <w:t xml:space="preserve">Négy fő területen végeztem el kutatásom. (1) Megmutattam, hogy a termékszintű aszimmetria és trendinfláció közt nincs kapcsolat. (2) Szintén termékszinten nem tudtam sem előzetes, sem utólagos hatást igazolni egyik termékcsoportban sem: az áfahatás azonnal jelent meg, nem volt elhúzódó hatás. (3) Iparági szinten betekintést nyújtottam a termékcsoportonkénti aszimmetria és koncentráció, piaci felár kapcsolatába: kisebb piaci verseny esetén a fogyasztók számára kedvezőtlenebb aszimmetria rajzolódott ki. (4) Végül a termékszintű adatokon, a tartósság figyelembevételével sem tudtam lényegi elhúzódó hatást igazolni, viszont eltérést találtam a sztenderd adózású tartós és nemtartós termékek közt: utóbbi esetén jóval nagyobb volt a januári emelés hatása, melyről kisebb keresési költségre következtettem.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45430">
    <w:multiLevelType w:val="hybridMultilevel"/>
    <w:lvl w:ilvl="0" w:tplc="70404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45430">
    <w:abstractNumId w:val="15345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535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