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MOLNÁR</w:t>
            </w:r>
          </w:p>
          <w:p w:rsidR="00C275A3" w:rsidRDefault="00186641" w:rsidP="00C275A3">
            <w:pPr>
              <w:pStyle w:val="Hallgatokepzes"/>
            </w:pPr>
            <w:r w:rsidRPr="002361E2">
              <w:rPr>
                <w:i/>
              </w:rPr>
              <w:t>molnar.tamas314@gmail.com</w:t>
            </w:r>
            <w:r w:rsidRPr="002361E2">
              <w:rPr>
                <w:i/>
              </w:rPr>
              <w:br/>
            </w:r>
            <w:r w:rsidR="00A96AEC">
              <w:t>Finance and Accounting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Barbara Mária Dömötör</w:t>
            </w:r>
          </w:p>
          <w:p w:rsidR="00DB4822" w:rsidRDefault="00DB4822" w:rsidP="009763E0">
            <w:pPr>
              <w:pStyle w:val="Konzulensektitulus"/>
            </w:pPr>
            <w:r w:rsidRPr="00DB4822">
              <w:t>associate professor, BCE GTK</w:t>
            </w:r>
          </w:p>
        </w:tc>
      </w:tr>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quantitative easing on US sector yields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Quantitative easing is one of the most effective unconventional monetary policy tools of recent crises, during which the central bank tries to stimulate the economy by lowering long-term bond yields while creating liquidity for financial institutions. In this study, with the help of event analysis, I examined whether an abnormal return can be observed in the case of US sector yields when quantitative easing is announced. I thought it is important to examine this topic because I assumed that quantitative easing affects the market as a whole, but the magnitude of this effect differs from sector to sector. The purpose of the study was to build a reliable trading strategy that builds on the existence of an abnormal return generated by the announcement effect. Furthermore, it should not be forgotten that quantitative easing is basically introduced in order to stabilize the economy, so the examination of its effect on sectors can provide guidance as to which segment may require further intervention. In the course of my study, I examined this phenomenon in several breakdowns: (1) for 49 industry portfolios covering the entire market, (2) for the main sector indices of the S&amp;P 500, and (3) in a more detailed analysis for the financial sector. In the case of the industry study, I did not find any consistency in the development of abnormal returns, but the effect of the intervention was statistically measurable. For the financials sector, within the event window of the first 3 quantitative easing events, I surprisingly did not find significant abnormal returns, while for the healthcare sector, discretionary and consumer staples, these stocks reacted consistently for all 4 announcements. In addition, the existence of the announcement effect was further confirmed by the fact that the significant abnormal returns measured after the event day when the program was launched were in the opposite direction compared to the AR values established around the announcement. Finally, in the banking sector, I showed that the first and third quantitative easing caused the most significant changes in the market, while the other events fell short of expectations and did not cause significant abnormal returns.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02315">
    <w:multiLevelType w:val="hybridMultilevel"/>
    <w:lvl w:ilvl="0" w:tplc="16216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02315">
    <w:abstractNumId w:val="52302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303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