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GRANÁT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granat.marcell@uni-neumann.hu</w:t>
            </w:r>
            <w:r w:rsidRPr="002361E2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SZAKMÁRY NÁNDOR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n.szakmary@gmail.com</w:t>
            </w:r>
            <w:r w:rsidRPr="002361E2">
              <w:rPr>
                <w:i/>
              </w:rPr>
              <w:br/>
            </w:r>
            <w:bookmarkEnd w:id="1"/>
            <w:r w:rsidR="00C275A3"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benzinkutak árazása az árplafon bevezetése előtt és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magyarországi benzinkutak áraival foglalkozik, amelyet nagymértékben befolyásoltak a</w:t>
      </w:r>
      <w:r>
        <w:rPr>
          <w:color w:val="000000"/>
          <w:sz w:val="24"/>
          <w:szCs w:val="24"/>
        </w:rPr>
        <w:br/>
        <w:t xml:space="preserve">árplafon bevezetése. Célja, hogy választ adjon arra a kérdésre, hogy miként működik a kormányzati beavatkozás</w:t>
      </w:r>
      <w:r>
        <w:rPr>
          <w:color w:val="000000"/>
          <w:sz w:val="24"/>
          <w:szCs w:val="24"/>
        </w:rPr>
        <w:br/>
        <w:t xml:space="preserve">megváltoztatta a kutak árstratégiáját. Korábbi empirikus vizsgálatok és a rendelkezésre álló paneladatbázis alapján</w:t>
      </w:r>
      <w:r>
        <w:rPr>
          <w:color w:val="000000"/>
          <w:sz w:val="24"/>
          <w:szCs w:val="24"/>
        </w:rPr>
        <w:br/>
        <w:t xml:space="preserve">1334 állomás közül az egyes benzinkutak árképzését befolyásoló tényezőket vizsgálja.</w:t>
      </w:r>
      <w:r>
        <w:rPr>
          <w:color w:val="000000"/>
          <w:sz w:val="24"/>
          <w:szCs w:val="24"/>
        </w:rPr>
        <w:br/>
        <w:t xml:space="preserve">különös hangsúlyt fektetve a versenytársak számára és viselkedésére négy különböző időszakban. Az adatbázis</w:t>
      </w:r>
      <w:r>
        <w:rPr>
          <w:color w:val="000000"/>
          <w:sz w:val="24"/>
          <w:szCs w:val="24"/>
        </w:rPr>
        <w:br/>
        <w:t xml:space="preserve">tartalmaz néhány távolság alapú változót, például egy adott távolságon belüli állomások számát,</w:t>
      </w:r>
      <w:r>
        <w:rPr>
          <w:color w:val="000000"/>
          <w:sz w:val="24"/>
          <w:szCs w:val="24"/>
        </w:rPr>
        <w:br/>
        <w:t xml:space="preserve">amelyeket az ökonometriai modellezésben használnak. Eredményeink szerint a MOL korábban piacvezető volt</w:t>
      </w:r>
      <w:r>
        <w:rPr>
          <w:color w:val="000000"/>
          <w:sz w:val="24"/>
          <w:szCs w:val="24"/>
        </w:rPr>
        <w:br/>
        <w:t xml:space="preserve">az ársapka bevezetése és pozíciója közvetlenül az árszabályozást követően erősödött meg, ahogy eddig is</w:t>
      </w:r>
      <w:r>
        <w:rPr>
          <w:color w:val="000000"/>
          <w:sz w:val="24"/>
          <w:szCs w:val="24"/>
        </w:rPr>
        <w:br/>
        <w:t xml:space="preserve">minden márka közül a legkönnyebben alkalmazkodott az új körülményekhez. Ahogy azonban más állomások megszokják ezt</w:t>
      </w:r>
      <w:r>
        <w:rPr>
          <w:color w:val="000000"/>
          <w:sz w:val="24"/>
          <w:szCs w:val="24"/>
        </w:rPr>
        <w:br/>
        <w:t xml:space="preserve">új gazdasági környezetben a vezető MOL és követői közötti különbség csökkenni kezdett.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55561">
    <w:multiLevelType w:val="hybridMultilevel"/>
    <w:lvl w:ilvl="0" w:tplc="42366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55561">
    <w:abstractNumId w:val="87455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593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